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26" w:rsidRPr="00BB78C4" w:rsidRDefault="00D87E26" w:rsidP="00D87E26">
      <w:pPr>
        <w:spacing w:before="120"/>
        <w:jc w:val="center"/>
        <w:rPr>
          <w:b/>
          <w:bCs/>
          <w:sz w:val="32"/>
          <w:szCs w:val="32"/>
        </w:rPr>
      </w:pPr>
      <w:r w:rsidRPr="00BB78C4">
        <w:rPr>
          <w:b/>
          <w:bCs/>
          <w:sz w:val="32"/>
          <w:szCs w:val="32"/>
        </w:rPr>
        <w:t>Абсорбция с4-олефинов отработанной серной кислотой процесса алкилирования</w:t>
      </w:r>
    </w:p>
    <w:p w:rsidR="00D87E26" w:rsidRPr="00BB78C4" w:rsidRDefault="00D87E26" w:rsidP="00D87E26">
      <w:pPr>
        <w:spacing w:before="120"/>
        <w:jc w:val="center"/>
        <w:rPr>
          <w:sz w:val="28"/>
          <w:szCs w:val="28"/>
        </w:rPr>
      </w:pPr>
      <w:r w:rsidRPr="00BB78C4">
        <w:rPr>
          <w:sz w:val="28"/>
          <w:szCs w:val="28"/>
        </w:rPr>
        <w:t>Кушнирук Ю.В., Цадкин М.А., Кудашева Ф.Х., Галиакбаров М.Ф., Колесов С.В.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В процессе алкилирования изопарафинов олефинами в качестве катализатора используется серная кислота с концентрацией 88-98</w:t>
      </w:r>
      <w:r>
        <w:t xml:space="preserve"> </w:t>
      </w:r>
      <w:r w:rsidRPr="00E435B1">
        <w:t>%. Из процесса выводится отработанная серная кислота с концентрацией 82-85</w:t>
      </w:r>
      <w:r>
        <w:t xml:space="preserve"> </w:t>
      </w:r>
      <w:r w:rsidRPr="00E435B1">
        <w:t>% [1], в которой содержатся растворенные углеводороды, олигомеры, алкилсульфаты и пр. Ее каталитическая активность в процессе алкилирования резко падает, но она может представлять интерес как катализатор и реагент других нефтехимических процессов. В частности, при барботаже отработанной бутан-бутиленовой фракции (ББФ) с установок каталитического крекинга и сернокислотного алкилирования через отработанную серную кислоту с концентрацией 82</w:t>
      </w:r>
      <w:r>
        <w:t xml:space="preserve"> </w:t>
      </w:r>
      <w:r w:rsidRPr="00E435B1">
        <w:t>% отмечено поглощение газа и изменение его состава (табл.</w:t>
      </w:r>
      <w:r>
        <w:t xml:space="preserve"> </w:t>
      </w:r>
      <w:r w:rsidRPr="00E435B1">
        <w:t>1).</w:t>
      </w:r>
    </w:p>
    <w:p w:rsidR="00D87E26" w:rsidRPr="00E435B1" w:rsidRDefault="00D87E26" w:rsidP="00D87E26">
      <w:pPr>
        <w:spacing w:before="120"/>
        <w:ind w:firstLine="567"/>
        <w:jc w:val="both"/>
      </w:pPr>
      <w:r>
        <w:t xml:space="preserve"> </w:t>
      </w:r>
      <w:r w:rsidRPr="00E435B1">
        <w:t>Таблица 1. Изменение состава ББФ при барботаже через отработанную серную кислоту при температуре 50</w:t>
      </w:r>
      <w:r>
        <w:t xml:space="preserve"> </w:t>
      </w:r>
      <w:r w:rsidRPr="00E435B1">
        <w:t>С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1"/>
        <w:gridCol w:w="2729"/>
        <w:gridCol w:w="3286"/>
      </w:tblGrid>
      <w:tr w:rsidR="00D87E26" w:rsidRPr="00E435B1" w:rsidTr="00946DB5">
        <w:trPr>
          <w:tblCellSpacing w:w="7" w:type="dxa"/>
          <w:jc w:val="center"/>
        </w:trPr>
        <w:tc>
          <w:tcPr>
            <w:tcW w:w="189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Компонент</w:t>
            </w:r>
          </w:p>
        </w:tc>
        <w:tc>
          <w:tcPr>
            <w:tcW w:w="306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Содержание в газе, % мас.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189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>
              <w:t xml:space="preserve"> </w:t>
            </w:r>
          </w:p>
        </w:tc>
        <w:tc>
          <w:tcPr>
            <w:tcW w:w="1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до поглощения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после поглощения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189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Пропилен</w:t>
            </w:r>
          </w:p>
          <w:p w:rsidR="00D87E26" w:rsidRPr="00E435B1" w:rsidRDefault="00D87E26" w:rsidP="00946DB5">
            <w:r w:rsidRPr="00E435B1">
              <w:t>Пропан</w:t>
            </w:r>
          </w:p>
          <w:p w:rsidR="00D87E26" w:rsidRPr="00E435B1" w:rsidRDefault="00D87E26" w:rsidP="00946DB5">
            <w:r w:rsidRPr="00E435B1">
              <w:t>i-бутан</w:t>
            </w:r>
          </w:p>
          <w:p w:rsidR="00D87E26" w:rsidRPr="00E435B1" w:rsidRDefault="00D87E26" w:rsidP="00946DB5">
            <w:r w:rsidRPr="00E435B1">
              <w:t>n-бутан</w:t>
            </w:r>
          </w:p>
          <w:p w:rsidR="00D87E26" w:rsidRPr="00E435B1" w:rsidRDefault="00D87E26" w:rsidP="00946DB5">
            <w:r w:rsidRPr="00E435B1">
              <w:t>i+n-бутен</w:t>
            </w:r>
          </w:p>
          <w:p w:rsidR="00D87E26" w:rsidRPr="00E435B1" w:rsidRDefault="00D87E26" w:rsidP="00946DB5">
            <w:r w:rsidRPr="00E435B1">
              <w:t>tr-бутен</w:t>
            </w:r>
          </w:p>
          <w:p w:rsidR="00D87E26" w:rsidRPr="00E435B1" w:rsidRDefault="00D87E26" w:rsidP="00946DB5">
            <w:r w:rsidRPr="00E435B1">
              <w:t>cis-бутен</w:t>
            </w:r>
          </w:p>
          <w:p w:rsidR="00D87E26" w:rsidRPr="00E435B1" w:rsidRDefault="00D87E26" w:rsidP="00946DB5">
            <w:r w:rsidRPr="00E435B1">
              <w:t>3-метилбутен-1</w:t>
            </w:r>
          </w:p>
          <w:p w:rsidR="00D87E26" w:rsidRPr="00E435B1" w:rsidRDefault="00D87E26" w:rsidP="00946DB5">
            <w:r w:rsidRPr="00E435B1">
              <w:t>i-пентен</w:t>
            </w:r>
          </w:p>
        </w:tc>
        <w:tc>
          <w:tcPr>
            <w:tcW w:w="13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0,13</w:t>
            </w:r>
          </w:p>
          <w:p w:rsidR="00D87E26" w:rsidRPr="00E435B1" w:rsidRDefault="00D87E26" w:rsidP="00946DB5">
            <w:r w:rsidRPr="00E435B1">
              <w:t>4,15</w:t>
            </w:r>
          </w:p>
          <w:p w:rsidR="00D87E26" w:rsidRPr="00E435B1" w:rsidRDefault="00D87E26" w:rsidP="00946DB5">
            <w:r w:rsidRPr="00E435B1">
              <w:t>74,15</w:t>
            </w:r>
          </w:p>
          <w:p w:rsidR="00D87E26" w:rsidRPr="00E435B1" w:rsidRDefault="00D87E26" w:rsidP="00946DB5">
            <w:r w:rsidRPr="00E435B1">
              <w:t>4,54</w:t>
            </w:r>
          </w:p>
          <w:p w:rsidR="00D87E26" w:rsidRPr="00E435B1" w:rsidRDefault="00D87E26" w:rsidP="00946DB5">
            <w:r w:rsidRPr="00E435B1">
              <w:t>8,88</w:t>
            </w:r>
          </w:p>
          <w:p w:rsidR="00D87E26" w:rsidRPr="00E435B1" w:rsidRDefault="00D87E26" w:rsidP="00946DB5">
            <w:r w:rsidRPr="00E435B1">
              <w:t>5,07</w:t>
            </w:r>
          </w:p>
          <w:p w:rsidR="00D87E26" w:rsidRPr="00E435B1" w:rsidRDefault="00D87E26" w:rsidP="00946DB5">
            <w:r w:rsidRPr="00E435B1">
              <w:t>2,92</w:t>
            </w:r>
          </w:p>
          <w:p w:rsidR="00D87E26" w:rsidRPr="00E435B1" w:rsidRDefault="00D87E26" w:rsidP="00946DB5">
            <w:r w:rsidRPr="00E435B1">
              <w:t>0,06</w:t>
            </w:r>
          </w:p>
          <w:p w:rsidR="00D87E26" w:rsidRPr="00E435B1" w:rsidRDefault="00D87E26" w:rsidP="00946DB5">
            <w:r w:rsidRPr="00E435B1">
              <w:t>0,10</w:t>
            </w:r>
          </w:p>
        </w:tc>
        <w:tc>
          <w:tcPr>
            <w:tcW w:w="1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0,10</w:t>
            </w:r>
          </w:p>
          <w:p w:rsidR="00D87E26" w:rsidRPr="00E435B1" w:rsidRDefault="00D87E26" w:rsidP="00946DB5">
            <w:r w:rsidRPr="00E435B1">
              <w:t>4,40</w:t>
            </w:r>
          </w:p>
          <w:p w:rsidR="00D87E26" w:rsidRPr="00E435B1" w:rsidRDefault="00D87E26" w:rsidP="00946DB5">
            <w:r w:rsidRPr="00E435B1">
              <w:t>82,39</w:t>
            </w:r>
          </w:p>
          <w:p w:rsidR="00D87E26" w:rsidRPr="00E435B1" w:rsidRDefault="00D87E26" w:rsidP="00946DB5">
            <w:r w:rsidRPr="00E435B1">
              <w:t>6,49</w:t>
            </w:r>
          </w:p>
          <w:p w:rsidR="00D87E26" w:rsidRPr="00E435B1" w:rsidRDefault="00D87E26" w:rsidP="00946DB5">
            <w:r w:rsidRPr="00E435B1">
              <w:t>4,00</w:t>
            </w:r>
          </w:p>
          <w:p w:rsidR="00D87E26" w:rsidRPr="00E435B1" w:rsidRDefault="00D87E26" w:rsidP="00946DB5">
            <w:r w:rsidRPr="00E435B1">
              <w:t>1,80</w:t>
            </w:r>
          </w:p>
          <w:p w:rsidR="00D87E26" w:rsidRPr="00E435B1" w:rsidRDefault="00D87E26" w:rsidP="00946DB5">
            <w:r w:rsidRPr="00E435B1">
              <w:t>1,35</w:t>
            </w:r>
          </w:p>
          <w:p w:rsidR="00D87E26" w:rsidRPr="00E435B1" w:rsidRDefault="00D87E26" w:rsidP="00946DB5">
            <w:r w:rsidRPr="00E435B1">
              <w:t>0,03</w:t>
            </w:r>
          </w:p>
          <w:p w:rsidR="00D87E26" w:rsidRPr="00E435B1" w:rsidRDefault="00D87E26" w:rsidP="00946DB5">
            <w:r w:rsidRPr="00E435B1">
              <w:t>0,26</w:t>
            </w:r>
          </w:p>
        </w:tc>
      </w:tr>
    </w:tbl>
    <w:p w:rsidR="00D87E26" w:rsidRPr="00E435B1" w:rsidRDefault="00D87E26" w:rsidP="00D87E26">
      <w:pPr>
        <w:spacing w:before="120"/>
        <w:ind w:firstLine="567"/>
        <w:jc w:val="both"/>
      </w:pPr>
      <w:r w:rsidRPr="00E435B1">
        <w:t>В изменении состава газа обращает на себя внимание заметный расход бутиленов: суммарное содержание С4-олефинов уменьшается более чем на 10</w:t>
      </w:r>
      <w:r>
        <w:t xml:space="preserve"> </w:t>
      </w:r>
      <w:r w:rsidRPr="00E435B1">
        <w:t>% мас. Другие виды олефинов (С3-, C5-) столь значительному изменению не подвергаются. Внутри группы бутиленов в наибольшей степени расходуются tr-, cis-бyтeны-2. Их относительное содержание изменяется на 64,5 и 88</w:t>
      </w:r>
      <w:r>
        <w:t xml:space="preserve"> </w:t>
      </w:r>
      <w:r w:rsidRPr="00E435B1">
        <w:t>%, соответственно. i-, n-бутен расходуются на 55</w:t>
      </w:r>
      <w:r>
        <w:t xml:space="preserve"> </w:t>
      </w:r>
      <w:r w:rsidRPr="00E435B1">
        <w:t>% от их первоначального содержания. Это, в общем, соответствует известным литературным данным: серная кислота, содержащая растворенные углеводороды, более эффективно вступает во взаимодействие с бутеном-2, чем с бутеном-1 и изобутеном [2]. Эффективность абсорбции ББФ зависит от температуры. На 200 л пропущенного газа поглощается при 50</w:t>
      </w:r>
      <w:r>
        <w:t xml:space="preserve"> </w:t>
      </w:r>
      <w:r w:rsidRPr="00E435B1">
        <w:t>С - 20</w:t>
      </w:r>
      <w:r>
        <w:t xml:space="preserve"> </w:t>
      </w:r>
      <w:r w:rsidRPr="00E435B1">
        <w:t>% об., при 120 С - 38</w:t>
      </w:r>
      <w:r>
        <w:t xml:space="preserve"> </w:t>
      </w:r>
      <w:r w:rsidRPr="00E435B1">
        <w:t>% об., при 200 С - 50</w:t>
      </w:r>
      <w:r>
        <w:t xml:space="preserve"> </w:t>
      </w:r>
      <w:r w:rsidRPr="00E435B1">
        <w:t>% об.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При барботаже ББФ над кислотной фазой образуется жидкий углеводородный слой, представляющий собой бесцветную жидкость с характерным бензиновым запахом. Выход жидких продуктов также зависит от температуры, однако при повышении температуры он уменьшается. Расчет на наиболее изменяющуюся часть поглощенного газа - углеводороды С4 - показывает, что на образование жидких продуктов расходуется до 50</w:t>
      </w:r>
      <w:r>
        <w:t xml:space="preserve"> </w:t>
      </w:r>
      <w:r w:rsidRPr="00E435B1">
        <w:t>% бутиленов (табл. 2).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Таблица 2. Выход жидких продуктов взаимодействия ББФ с отработанной серной кислотой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6"/>
        <w:gridCol w:w="2466"/>
        <w:gridCol w:w="3104"/>
      </w:tblGrid>
      <w:tr w:rsidR="00D87E26" w:rsidRPr="00E435B1" w:rsidTr="00946DB5">
        <w:trPr>
          <w:tblCellSpacing w:w="7" w:type="dxa"/>
          <w:jc w:val="center"/>
        </w:trPr>
        <w:tc>
          <w:tcPr>
            <w:tcW w:w="21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 xml:space="preserve">Температура, </w:t>
            </w:r>
          </w:p>
        </w:tc>
        <w:tc>
          <w:tcPr>
            <w:tcW w:w="282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Выход жидких продуктов, % мас.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1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0 С</w:t>
            </w:r>
          </w:p>
        </w:tc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на бутилены в исходном газе</w:t>
            </w:r>
          </w:p>
        </w:tc>
        <w:tc>
          <w:tcPr>
            <w:tcW w:w="1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на поглощенные бутилены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1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5</w:t>
            </w:r>
          </w:p>
          <w:p w:rsidR="00D87E26" w:rsidRPr="00E435B1" w:rsidRDefault="00D87E26" w:rsidP="00946DB5">
            <w:r w:rsidRPr="00E435B1">
              <w:t>12</w:t>
            </w:r>
          </w:p>
          <w:p w:rsidR="00D87E26" w:rsidRPr="00E435B1" w:rsidRDefault="00D87E26" w:rsidP="00946DB5">
            <w:r w:rsidRPr="00E435B1">
              <w:t>20</w:t>
            </w:r>
          </w:p>
        </w:tc>
        <w:tc>
          <w:tcPr>
            <w:tcW w:w="1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36,40</w:t>
            </w:r>
          </w:p>
          <w:p w:rsidR="00D87E26" w:rsidRPr="00E435B1" w:rsidRDefault="00D87E26" w:rsidP="00946DB5">
            <w:r w:rsidRPr="00E435B1">
              <w:t>18,90</w:t>
            </w:r>
          </w:p>
          <w:p w:rsidR="00D87E26" w:rsidRPr="00E435B1" w:rsidRDefault="00D87E26" w:rsidP="00946DB5">
            <w:r w:rsidRPr="00E435B1">
              <w:t>17,50</w:t>
            </w:r>
          </w:p>
        </w:tc>
        <w:tc>
          <w:tcPr>
            <w:tcW w:w="15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57,30</w:t>
            </w:r>
          </w:p>
          <w:p w:rsidR="00D87E26" w:rsidRPr="00E435B1" w:rsidRDefault="00D87E26" w:rsidP="00946DB5">
            <w:r w:rsidRPr="00E435B1">
              <w:t>29,70</w:t>
            </w:r>
          </w:p>
          <w:p w:rsidR="00D87E26" w:rsidRPr="00E435B1" w:rsidRDefault="00D87E26" w:rsidP="00946DB5">
            <w:r w:rsidRPr="00E435B1">
              <w:t>27,50</w:t>
            </w:r>
          </w:p>
        </w:tc>
      </w:tr>
    </w:tbl>
    <w:p w:rsidR="00D87E26" w:rsidRPr="00E435B1" w:rsidRDefault="00D87E26" w:rsidP="00D87E26">
      <w:pPr>
        <w:spacing w:before="120"/>
        <w:ind w:firstLine="567"/>
        <w:jc w:val="both"/>
      </w:pPr>
      <w:r w:rsidRPr="00E435B1">
        <w:t>По данным хроматографического анализа в составе жидкого продукта присутствуют изомерные С7С8-углеводороды, характерные для продуктов сернокислотного алкилирования (табл.</w:t>
      </w:r>
      <w:r>
        <w:t xml:space="preserve"> </w:t>
      </w:r>
      <w:r w:rsidRPr="00E435B1">
        <w:t>3). Их содержание доходит до 25</w:t>
      </w:r>
      <w:r>
        <w:t xml:space="preserve"> </w:t>
      </w:r>
      <w:r w:rsidRPr="00E435B1">
        <w:t>% мас. Это позволяет предположить, что данный продукт может представлять интерес как высокооктановый компонент моторных топлив.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Таблица 3. Содержание некоторых изопарафинов в продукте взаимодействия ББФ с отработанной серной кислотой</w:t>
      </w:r>
    </w:p>
    <w:tbl>
      <w:tblPr>
        <w:tblW w:w="5000" w:type="pct"/>
        <w:jc w:val="center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66"/>
        <w:gridCol w:w="4960"/>
      </w:tblGrid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Соединение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Содержание, %</w:t>
            </w:r>
            <w:r>
              <w:t xml:space="preserve"> </w:t>
            </w:r>
            <w:r w:rsidRPr="00E435B1">
              <w:t>мас.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2,3-Диметилпентан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0,90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2,2,3-Триметилпентан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0,80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2,2,4-Триметилпентан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2,80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2,3,3-Триметилпентан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11,30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2,3,4-Триметилпентан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2,80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2,3 -Диметилгексан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3,10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2,4-Диметилгексан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1,40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2,5-Диметилгексан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2,40</w:t>
            </w:r>
          </w:p>
        </w:tc>
      </w:tr>
      <w:tr w:rsidR="00D87E26" w:rsidRPr="00E435B1" w:rsidTr="00946DB5">
        <w:trPr>
          <w:tblCellSpacing w:w="7" w:type="dxa"/>
          <w:jc w:val="center"/>
        </w:trPr>
        <w:tc>
          <w:tcPr>
            <w:tcW w:w="2428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87E26" w:rsidRPr="00E435B1" w:rsidRDefault="00D87E26" w:rsidP="00946DB5">
            <w:r w:rsidRPr="00E435B1">
              <w:t>3-Метилгексан</w:t>
            </w:r>
          </w:p>
        </w:tc>
        <w:tc>
          <w:tcPr>
            <w:tcW w:w="2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87E26" w:rsidRPr="00E435B1" w:rsidRDefault="00D87E26" w:rsidP="00946DB5">
            <w:r w:rsidRPr="00E435B1">
              <w:t>0,20</w:t>
            </w:r>
          </w:p>
        </w:tc>
      </w:tr>
    </w:tbl>
    <w:p w:rsidR="00D87E26" w:rsidRPr="00E435B1" w:rsidRDefault="00D87E26" w:rsidP="00D87E26">
      <w:pPr>
        <w:spacing w:before="120"/>
        <w:ind w:firstLine="567"/>
        <w:jc w:val="both"/>
      </w:pPr>
      <w:r w:rsidRPr="00E435B1">
        <w:t>Остальная часть поглощенных бутиленов, вероятно, расходуется на взаимодействие с серной кислотой с образованием алкилсульфатов.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Продукты взаимодействия серной кислоты с бутиленами (алкилсульфаты) также могут представлять определенный практический интерес, т.к. через них может быть осуществлен синтез простых эфиров по “сернокислотному” методу.</w:t>
      </w:r>
    </w:p>
    <w:p w:rsidR="00D87E26" w:rsidRPr="00E435B1" w:rsidRDefault="00D87E26" w:rsidP="00D87E26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H2S04+RCH=CH2 </w:t>
      </w:r>
      <w:r w:rsidRPr="00E435B1">
        <w:t></w:t>
      </w:r>
      <w:r w:rsidRPr="00E435B1">
        <w:rPr>
          <w:lang w:val="en-US"/>
        </w:rPr>
        <w:t xml:space="preserve">  R’OSO3H (R’=–CHR–</w:t>
      </w:r>
      <w:r w:rsidRPr="00E435B1">
        <w:t>СН</w:t>
      </w:r>
      <w:r w:rsidRPr="00E435B1">
        <w:rPr>
          <w:lang w:val="en-US"/>
        </w:rPr>
        <w:t xml:space="preserve">3) R’OSO3H+ROH </w:t>
      </w:r>
      <w:r w:rsidRPr="00E435B1">
        <w:t></w:t>
      </w:r>
      <w:r w:rsidRPr="00E435B1">
        <w:rPr>
          <w:lang w:val="en-US"/>
        </w:rPr>
        <w:t xml:space="preserve">  R’OR+H2S04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Простые эфиры, где R=i–С3–С4, являются актуальнейшими высокооктановыми добавками к моторным топливам [3].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Таким образом, с использованием отработанной кислоты процесса сернокислотного алкилирования и отработанной бутан-бутиленовой фракции с установок каталитического крекинга и алкилирования возможно получение весьма ценных высокооктановых компонентов моторных топлив.</w:t>
      </w:r>
    </w:p>
    <w:p w:rsidR="00D87E26" w:rsidRPr="00BB78C4" w:rsidRDefault="00D87E26" w:rsidP="00D87E26">
      <w:pPr>
        <w:spacing w:before="120"/>
        <w:jc w:val="center"/>
        <w:rPr>
          <w:b/>
          <w:bCs/>
          <w:sz w:val="28"/>
          <w:szCs w:val="28"/>
        </w:rPr>
      </w:pPr>
      <w:r w:rsidRPr="00BB78C4">
        <w:rPr>
          <w:b/>
          <w:bCs/>
          <w:sz w:val="28"/>
          <w:szCs w:val="28"/>
        </w:rPr>
        <w:t>Список литературы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 xml:space="preserve">Дорогочинский А.З., Лютер А.В., Вольпова Е.Г. Сернокислотное алкилирование изопарафинов олефинами. М.: Химия, 1970. 216 с. 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 xml:space="preserve">Хек P.M., Макклуинг Р.Дж. // Нефть, газ и нефтепереработка за рубежом. 1980. № 4. С. 78-82. </w:t>
      </w:r>
    </w:p>
    <w:p w:rsidR="00D87E26" w:rsidRPr="00E435B1" w:rsidRDefault="00D87E26" w:rsidP="00D87E26">
      <w:pPr>
        <w:spacing w:before="120"/>
        <w:ind w:firstLine="567"/>
        <w:jc w:val="both"/>
      </w:pPr>
      <w:r w:rsidRPr="00E435B1">
        <w:t>Гусев А.А., Митусова Т.Н. и др. // Химия и технология топлив и масел. 1993. № 11. С. 4-7.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7E26"/>
    <w:rsid w:val="00095BA6"/>
    <w:rsid w:val="0031418A"/>
    <w:rsid w:val="003C6831"/>
    <w:rsid w:val="00425E16"/>
    <w:rsid w:val="005A2562"/>
    <w:rsid w:val="00946DB5"/>
    <w:rsid w:val="00A44D32"/>
    <w:rsid w:val="00BB78C4"/>
    <w:rsid w:val="00D87E26"/>
    <w:rsid w:val="00E12572"/>
    <w:rsid w:val="00E4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B6C289-F2CE-4C30-A574-280FB041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2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7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3785</Characters>
  <Application>Microsoft Office Word</Application>
  <DocSecurity>0</DocSecurity>
  <Lines>31</Lines>
  <Paragraphs>8</Paragraphs>
  <ScaleCrop>false</ScaleCrop>
  <Company>Home</Company>
  <LinksUpToDate>false</LinksUpToDate>
  <CharactersWithSpaces>4440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Абсорбция с4-олефинов отработанной серной кислотой процесса алкилирования</dc:title>
  <dc:subject/>
  <dc:creator>Alena</dc:creator>
  <cp:keywords/>
  <dc:description/>
  <cp:lastModifiedBy>admin</cp:lastModifiedBy>
  <cp:revision>2</cp:revision>
  <dcterms:created xsi:type="dcterms:W3CDTF">2014-02-16T14:24:00Z</dcterms:created>
  <dcterms:modified xsi:type="dcterms:W3CDTF">2014-02-16T14:24:00Z</dcterms:modified>
</cp:coreProperties>
</file>