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Министерство общего и профессионального образования</w:t>
      </w: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Российской Федерации</w:t>
      </w: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Санкт- Петербургская государственная инженерно-</w:t>
      </w: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экономическая  академия.</w:t>
      </w: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 xml:space="preserve">                                                                                      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 xml:space="preserve">                                                                                      </w:t>
      </w: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both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b/>
          <w:noProof/>
          <w:sz w:val="28"/>
        </w:rPr>
        <w:t>«Образ Мадонны в немецкой и нидерландской живописи Возрождения»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 xml:space="preserve">                                                                                   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Выполнил:                                                                                 студент 2 курса, гр. 281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sz w:val="28"/>
        </w:rPr>
        <w:t>Поляков Михаил Владимирович</w:t>
      </w:r>
      <w:r>
        <w:rPr>
          <w:rFonts w:ascii="Courier New" w:hAnsi="Courier New"/>
          <w:noProof/>
          <w:sz w:val="28"/>
        </w:rPr>
        <w:t>.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 xml:space="preserve">                                                                                   Проверил: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Рущаков В.А.</w:t>
      </w: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right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 xml:space="preserve">                                                                                   </w:t>
      </w: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Санкт-Петербург</w:t>
      </w:r>
    </w:p>
    <w:p w:rsidR="006A5679" w:rsidRDefault="006A5679">
      <w:pPr>
        <w:widowControl/>
        <w:tabs>
          <w:tab w:val="left" w:pos="4536"/>
        </w:tabs>
        <w:spacing w:line="360" w:lineRule="auto"/>
        <w:jc w:val="center"/>
        <w:rPr>
          <w:rFonts w:ascii="Courier New" w:hAnsi="Courier New"/>
          <w:noProof/>
          <w:sz w:val="28"/>
        </w:rPr>
      </w:pPr>
      <w:r>
        <w:rPr>
          <w:rFonts w:ascii="Courier New" w:hAnsi="Courier New"/>
          <w:noProof/>
          <w:sz w:val="28"/>
        </w:rPr>
        <w:t>1999</w:t>
      </w:r>
    </w:p>
    <w:p w:rsidR="006A5679" w:rsidRDefault="006A5679">
      <w:pPr>
        <w:widowControl/>
      </w:pPr>
    </w:p>
    <w:p w:rsidR="006A5679" w:rsidRDefault="006A5679">
      <w:pPr>
        <w:widowControl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Оглавление.</w:t>
      </w:r>
    </w:p>
    <w:p w:rsidR="006A5679" w:rsidRDefault="006A5679">
      <w:pPr>
        <w:pStyle w:val="10"/>
        <w:widowControl/>
        <w:rPr>
          <w:sz w:val="28"/>
        </w:rPr>
      </w:pPr>
      <w:r>
        <w:rPr>
          <w:sz w:val="28"/>
        </w:rPr>
        <w:t>1. Вступление.</w:t>
      </w:r>
      <w:r>
        <w:rPr>
          <w:sz w:val="28"/>
        </w:rPr>
        <w:tab/>
      </w:r>
      <w:r>
        <w:rPr>
          <w:caps w:val="0"/>
          <w:noProof/>
          <w:sz w:val="28"/>
        </w:rPr>
        <w:t>3</w:t>
      </w:r>
    </w:p>
    <w:p w:rsidR="006A5679" w:rsidRDefault="006A5679">
      <w:pPr>
        <w:pStyle w:val="10"/>
        <w:widowControl/>
        <w:rPr>
          <w:sz w:val="28"/>
        </w:rPr>
      </w:pPr>
      <w:r>
        <w:rPr>
          <w:sz w:val="28"/>
        </w:rPr>
        <w:t>2. Сравнительный анализ.</w:t>
      </w:r>
      <w:r>
        <w:rPr>
          <w:sz w:val="28"/>
        </w:rPr>
        <w:tab/>
      </w:r>
      <w:r>
        <w:rPr>
          <w:caps w:val="0"/>
          <w:noProof/>
          <w:sz w:val="28"/>
        </w:rPr>
        <w:t>4</w:t>
      </w:r>
    </w:p>
    <w:p w:rsidR="006A5679" w:rsidRDefault="006A5679">
      <w:pPr>
        <w:pStyle w:val="20"/>
        <w:widowControl/>
        <w:rPr>
          <w:sz w:val="28"/>
        </w:rPr>
      </w:pPr>
      <w:r>
        <w:rPr>
          <w:sz w:val="28"/>
        </w:rPr>
        <w:t>2.1 Образ Мадонны в живописи немецкого Возрождения.</w:t>
      </w:r>
      <w:r>
        <w:rPr>
          <w:sz w:val="28"/>
        </w:rPr>
        <w:tab/>
      </w:r>
      <w:r>
        <w:rPr>
          <w:smallCaps w:val="0"/>
          <w:noProof/>
          <w:sz w:val="28"/>
        </w:rPr>
        <w:t>4</w:t>
      </w:r>
    </w:p>
    <w:p w:rsidR="006A5679" w:rsidRDefault="006A5679">
      <w:pPr>
        <w:pStyle w:val="20"/>
        <w:widowControl/>
        <w:rPr>
          <w:sz w:val="28"/>
        </w:rPr>
      </w:pPr>
      <w:r>
        <w:rPr>
          <w:sz w:val="28"/>
        </w:rPr>
        <w:t>2.2 Обращение к образу Мадонны нидерландскими живописцами Возрождения.</w:t>
      </w:r>
      <w:r>
        <w:rPr>
          <w:sz w:val="28"/>
        </w:rPr>
        <w:tab/>
      </w:r>
      <w:r>
        <w:rPr>
          <w:smallCaps w:val="0"/>
          <w:noProof/>
          <w:sz w:val="28"/>
        </w:rPr>
        <w:t>5</w:t>
      </w:r>
    </w:p>
    <w:p w:rsidR="006A5679" w:rsidRDefault="006A5679">
      <w:pPr>
        <w:pStyle w:val="30"/>
        <w:widowControl/>
        <w:rPr>
          <w:sz w:val="28"/>
        </w:rPr>
      </w:pPr>
      <w:r>
        <w:rPr>
          <w:sz w:val="28"/>
        </w:rPr>
        <w:t>2.2.1 Особенности нидерландского Возрождения.</w:t>
      </w:r>
      <w:r>
        <w:rPr>
          <w:sz w:val="28"/>
        </w:rPr>
        <w:tab/>
      </w:r>
      <w:r>
        <w:rPr>
          <w:noProof/>
          <w:sz w:val="28"/>
        </w:rPr>
        <w:t>5</w:t>
      </w:r>
    </w:p>
    <w:p w:rsidR="006A5679" w:rsidRDefault="006A5679">
      <w:pPr>
        <w:pStyle w:val="30"/>
        <w:widowControl/>
        <w:rPr>
          <w:sz w:val="28"/>
        </w:rPr>
      </w:pPr>
      <w:r>
        <w:rPr>
          <w:sz w:val="28"/>
        </w:rPr>
        <w:t>2.2.2 Антонис Ван Дейк</w:t>
      </w:r>
      <w:r>
        <w:rPr>
          <w:sz w:val="28"/>
        </w:rPr>
        <w:tab/>
      </w:r>
      <w:r>
        <w:rPr>
          <w:noProof/>
          <w:sz w:val="28"/>
        </w:rPr>
        <w:t>6</w:t>
      </w:r>
    </w:p>
    <w:p w:rsidR="006A5679" w:rsidRDefault="006A5679">
      <w:pPr>
        <w:pStyle w:val="30"/>
        <w:widowControl/>
        <w:rPr>
          <w:sz w:val="28"/>
        </w:rPr>
      </w:pPr>
      <w:r>
        <w:rPr>
          <w:sz w:val="28"/>
        </w:rPr>
        <w:t>2.2.3 Робер Кампен</w:t>
      </w:r>
      <w:r>
        <w:rPr>
          <w:sz w:val="28"/>
        </w:rPr>
        <w:tab/>
      </w:r>
      <w:r>
        <w:rPr>
          <w:noProof/>
          <w:sz w:val="28"/>
        </w:rPr>
        <w:t>7</w:t>
      </w:r>
    </w:p>
    <w:p w:rsidR="006A5679" w:rsidRDefault="006A5679">
      <w:pPr>
        <w:pStyle w:val="30"/>
        <w:widowControl/>
        <w:rPr>
          <w:sz w:val="28"/>
        </w:rPr>
      </w:pPr>
      <w:r>
        <w:rPr>
          <w:sz w:val="28"/>
        </w:rPr>
        <w:t>2.2.4 Рогир ван дер Вейден</w:t>
      </w:r>
      <w:r>
        <w:rPr>
          <w:sz w:val="28"/>
        </w:rPr>
        <w:tab/>
      </w:r>
      <w:r>
        <w:rPr>
          <w:noProof/>
          <w:sz w:val="28"/>
        </w:rPr>
        <w:t>8</w:t>
      </w:r>
    </w:p>
    <w:p w:rsidR="006A5679" w:rsidRDefault="006A5679">
      <w:pPr>
        <w:pStyle w:val="10"/>
        <w:widowControl/>
        <w:rPr>
          <w:sz w:val="28"/>
        </w:rPr>
      </w:pPr>
      <w:r>
        <w:rPr>
          <w:sz w:val="28"/>
        </w:rPr>
        <w:t>3. Заключение</w:t>
      </w:r>
      <w:r>
        <w:rPr>
          <w:sz w:val="28"/>
        </w:rPr>
        <w:tab/>
      </w:r>
      <w:r>
        <w:rPr>
          <w:caps w:val="0"/>
          <w:noProof/>
          <w:sz w:val="28"/>
        </w:rPr>
        <w:t>11</w:t>
      </w:r>
    </w:p>
    <w:p w:rsidR="006A5679" w:rsidRDefault="006A5679">
      <w:pPr>
        <w:pStyle w:val="10"/>
        <w:widowControl/>
        <w:rPr>
          <w:sz w:val="28"/>
        </w:rPr>
      </w:pPr>
      <w:r>
        <w:rPr>
          <w:sz w:val="28"/>
        </w:rPr>
        <w:t>Список использованной литературы.</w:t>
      </w:r>
      <w:r>
        <w:rPr>
          <w:sz w:val="28"/>
        </w:rPr>
        <w:tab/>
      </w:r>
      <w:r>
        <w:rPr>
          <w:caps w:val="0"/>
          <w:noProof/>
          <w:sz w:val="28"/>
        </w:rPr>
        <w:t>12</w:t>
      </w: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widowControl/>
        <w:jc w:val="both"/>
        <w:rPr>
          <w:rFonts w:ascii="Courier New" w:hAnsi="Courier New"/>
          <w:b/>
          <w:sz w:val="28"/>
        </w:rPr>
      </w:pPr>
    </w:p>
    <w:p w:rsidR="006A5679" w:rsidRDefault="006A5679">
      <w:pPr>
        <w:pStyle w:val="1"/>
        <w:widowControl/>
        <w:jc w:val="center"/>
      </w:pPr>
      <w:bookmarkStart w:id="0" w:name="_Toc461376112"/>
      <w:r>
        <w:t>1. Вступление.</w:t>
      </w:r>
      <w:bookmarkEnd w:id="0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«...Послан был Ангел Гавриил от Бога в город Галилейский, называемый Назарет, к Деве, обрученной мужу, именем Иосифу, из дома Давидова; имя же Деве: Мария.»,- именно так в 1 главе Евангелия от Луки говорится о Богоматери. Ее имя всегда неразрывно связывается с чистотой, праведностью и кротостью. А образ Марии- Мадонны- это образ Матери- доброй, всепонимающей и всепрощающей. К ней во все времена обращали свои молитвы верующие, надеясь на помощь и сострадание. Именно поэтому сохранилось множество изображений Мадонны на иконах, картинах и фресках. Каждый живописец вкладывал в ее образ что-то свое, сообразно своим мыслям и чувствам. И, конечно, огромное значение имела эпоха, в которую творили мастера. 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Эпоха Возрождения оставила свой особый отпечаток в живописи. Но имеются существенные отличия в технике работ мастеров эпохи Возрождения разных стран. Мне хотелось бы обратить внимания на различия в работах немецких и нидерландских живописцев.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pStyle w:val="1"/>
        <w:widowControl/>
        <w:jc w:val="center"/>
      </w:pPr>
      <w:bookmarkStart w:id="1" w:name="_Toc461376113"/>
      <w:r>
        <w:t>2. Сравнительный анализ.</w:t>
      </w:r>
      <w:bookmarkEnd w:id="1"/>
    </w:p>
    <w:p w:rsidR="006A5679" w:rsidRDefault="006A5679">
      <w:pPr>
        <w:pStyle w:val="2"/>
        <w:widowControl/>
        <w:rPr>
          <w:sz w:val="28"/>
        </w:rPr>
      </w:pPr>
      <w:bookmarkStart w:id="2" w:name="_Toc461376114"/>
      <w:r>
        <w:rPr>
          <w:sz w:val="28"/>
        </w:rPr>
        <w:t>2.1 Образ Мадонны в живописи немецкого Возрождения.</w:t>
      </w:r>
      <w:bookmarkEnd w:id="2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небольшой коллекции немецкого искусства XV</w:t>
      </w:r>
      <w:r>
        <w:rPr>
          <w:rFonts w:ascii="Courier New" w:hAnsi="Courier New"/>
          <w:sz w:val="28"/>
        </w:rPr>
        <w:sym w:font="Symbol" w:char="F02D"/>
      </w:r>
      <w:r>
        <w:rPr>
          <w:rFonts w:ascii="Courier New" w:hAnsi="Courier New"/>
          <w:sz w:val="28"/>
        </w:rPr>
        <w:t xml:space="preserve">XVIII вв. Эрмитажа особую ценность представляют произведения мастера Возрождения Лукаса Кранаха Старшего. Творчество этого художника представлено произведениями среднего и позднего периодов. Художнику присущи любовь к эффектным, увлекающим зрителя сценам в сочетании с прямолинейной, едва ли не схематичной трактовкой образов. Он был художником декоративного склада. Его призвание- не сюжетные картины, а красочные росписи, которыми он украшал залы герцогских замков. 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Ренессанское мироощущение пронизывает картину «Мадонна с младенцем под яблоней». Церковная символика (яблоня - дерево Евы, первородный грех которой искупает Мария; корочка хлеба в руке младенца- обозначение тела Христа) не снижает общего гедонического характера произведения, где молодая красавица, воплощающая земные чары и радость материнства, словно царит в природе. В период, когда в протестантской Саксонии почти исчезли церковные заказы, а светское искусство развивалось, художник не отошел от религиозной тематики.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pStyle w:val="2"/>
        <w:widowControl/>
        <w:rPr>
          <w:sz w:val="28"/>
        </w:rPr>
      </w:pPr>
      <w:bookmarkStart w:id="3" w:name="_Toc461376115"/>
      <w:r>
        <w:rPr>
          <w:sz w:val="28"/>
        </w:rPr>
        <w:t>2.2 Обращение к образу Мадонны нидерландскими живописцами Возрождения.</w:t>
      </w:r>
      <w:bookmarkEnd w:id="3"/>
    </w:p>
    <w:p w:rsidR="006A5679" w:rsidRDefault="006A5679">
      <w:pPr>
        <w:pStyle w:val="3"/>
        <w:widowControl/>
      </w:pPr>
      <w:bookmarkStart w:id="4" w:name="_Toc461376116"/>
      <w:r>
        <w:rPr>
          <w:sz w:val="28"/>
        </w:rPr>
        <w:t>2.2.1 Особенности нидерландского Возрождения.</w:t>
      </w:r>
      <w:bookmarkEnd w:id="4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К образу Мадонны обращается также нидерландские живописцы. Интерес к реальному миру, свойственный эпохе Возрождения, в Нидерландах, по сравнению с Германией, находит в искусстве иное отражение. Здесь нет научного подхода и теоретических обоснований, художники идут эмпирическим путем. Они не владеют например, законами передачи перспективы, шире прибегают к образам религиозной символики. Единственное, в чем эти мастера опережают немцев,- это в самой технике и технологии живописи. Использование ими масляных красок, нанесенных поверх гладко отшлифованной поверхности, отражающей свет белого грунта, открывало новые возможности, позволяя, в частности, придать цвету исключительную звучность и светоносность. Даже обычные, будничные предметы благодаря этому воспринимаются в нидерландских картинах как нарядное зрелище. В технике темперы, в которой работали в то время немцы, было бы немыслимо передать освещенные складки одеяния Мадонны или блеск металлических предметов так, как это сделал в своей картине Робер Кампен. 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pStyle w:val="3"/>
        <w:widowControl/>
        <w:rPr>
          <w:sz w:val="28"/>
        </w:rPr>
      </w:pPr>
      <w:bookmarkStart w:id="5" w:name="_Toc461376117"/>
      <w:r>
        <w:rPr>
          <w:sz w:val="28"/>
        </w:rPr>
        <w:t>2.2.2 Антонис Ван Дейк</w:t>
      </w:r>
      <w:bookmarkEnd w:id="5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Обратим внимание на мастерство портретиста Антониса Ван Дейка в картине «Мадонна с куропатками». Картина принадлежит к числу его лучших сюжетных композиций. Традиционный в европейском искусстве сюжет- отдых святого семейства на пути в Египет («...Ангел Господень является во сне Иосифу и говорит: встань, возьми Младенца и Матерь Его, и беги в Египет, и будь там, доколе не скажу тебе...Он встал, взял Младенца и Матерь Его ночью, и пошел в Египет...») у Ван Дейка получает своеобразное воплощение. Сцене, где изображены Мадонна с младенцем, святой Иосиф и фигурки младенцев, развлекающих Христа, он придает несколько театральный характер. Почти постановочно, по-балетному выглядит детский хоровод, яркие и нарядные детали вносят в картину декоративный элемент. Эти детали имели аллегорический смысл, связанный с культом девы Марии (роза и лилия- цветы Марии; яблоко- искупление греха Евы; подсолнечник, который всегда тянется к солнцу- намек на возвышенные помыслы Богоматери; куропатка- символ беспутства- улетает). Вместе с тем Ван Дейк придает сцене интимность и теплоту. Чувственно-осязателен женский образ, дети, играющие в «золотые ворота», грациозны и изящны; мягкость и притушенность колорита картины хорошо передают атмосферу и освещение наступающего вечера. </w:t>
      </w:r>
    </w:p>
    <w:p w:rsidR="006A5679" w:rsidRDefault="006A5679">
      <w:pPr>
        <w:pStyle w:val="3"/>
        <w:widowControl/>
        <w:rPr>
          <w:sz w:val="28"/>
        </w:rPr>
      </w:pPr>
      <w:bookmarkStart w:id="6" w:name="_Toc461376118"/>
      <w:r>
        <w:rPr>
          <w:sz w:val="28"/>
        </w:rPr>
        <w:t>2.2.3 Робер Кампен</w:t>
      </w:r>
      <w:bookmarkEnd w:id="6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«Мадонна с младенцем у камина» Робера Кампена принадлежит к числу шедевров Эрмитажа. В прошлом «Мадонна с младенцем у камина» и «Троица» составляли диптих (двустворчатый складень), поэтому при экспонировании оба сюжета были заключены в единую раму. Традиционность исполнения особенно ощутима в «Троице», где характер композиции, объемная лепка фигур и изображение пьедестала свидетельствуют о влиянии готической скульптуры. На другой створке- «Мадонна с младенцем ». В этой композиции мастер отходит от готических традиций и создает новаторское для своего времени произведение. Мадонна с младенцем представлена в комнате обычного нидерландского дома, причем обстановка воспроизведена с необыкновенной тщательностью. У стены на столике стоит таз и кувшин для омовения, на полочке висит полотенце, детально написаны деревянные створки окна со шляпками медных гвоздей. За окном можно разглядеть уголок пейзажа. Сидя с младенцем на руках возле зажженного камина, Мадонна протянула в сторону огня руку, по-видимому для того, чтобы согреть ее и не коснуться холодными пальцами тельца ребенка. А возможно, что мать просто защищает его от жара пламени. Но в любом случае этот жест явно подмечен в жизни и носит конкретный, бытовой характер. Однако многое в картине представляется условным- передача пространства (пол круто наклонен так, что фигуры как бы скатываются к нижнему краю картины), с разных точек  изображены кувшин, таз и умывальный столик. Часть предметов воспринималась современниками художника и как символы (так, например, таз, кувшин, белое полотенце- знаки чистоты и невинности девы Марии).</w:t>
      </w:r>
    </w:p>
    <w:p w:rsidR="006A5679" w:rsidRDefault="006A5679">
      <w:pPr>
        <w:pStyle w:val="3"/>
        <w:widowControl/>
        <w:rPr>
          <w:sz w:val="28"/>
        </w:rPr>
      </w:pPr>
    </w:p>
    <w:p w:rsidR="006A5679" w:rsidRDefault="006A5679">
      <w:pPr>
        <w:pStyle w:val="3"/>
        <w:widowControl/>
        <w:rPr>
          <w:sz w:val="28"/>
        </w:rPr>
      </w:pPr>
      <w:bookmarkStart w:id="7" w:name="_Toc461376119"/>
      <w:r>
        <w:rPr>
          <w:sz w:val="28"/>
        </w:rPr>
        <w:t>2.2.4 Рогир ван дер Вейден</w:t>
      </w:r>
      <w:bookmarkEnd w:id="7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Сформировался как художник в мастерской Робера Кампена, научившись многому у Яна ван Эйка, Рогир ван дер Вейден(около 1399-1464)тем не менее сильно отличался от этих мастеров. Цель своего творчества он видел не в восхищенном созерцании мира, где повседневное приравнивается к чуду, а в постижении индивидуальности личности (что делало его глубоким психологом и превосходным портретистом).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«Св. Лука, рисующий Мадонну» Рогира ван дер Вейдена. Сюжет произведения основан на легенде, повествующей о том, что один из учеников Христа, Лука, был первым, кто создал портрет Мадонны. В середине века, когда появляются цеховые организации, живописцы Нидерландов провозглашают Луку покровителем своей гильдии. Рогир ван дер Вейден представил святого в момент творчества. В отличие от художников немецкого Возрождения, уделявших основное внимание человеку и изображавших его обычно в центре композиции, нидерландских мастеров в равной мере интересует и человек и его окружение. Поместив фигуры Марии с младенцем слева и Луки- справа, всю среднюю часть картины Рогир ван дер Вейден занялся пейзажем, открыв взору зрителя перспективу уходящей вдаль реки с городскими кварталами на ее берегах, написанными так точно и старательно, что в дальнейшем исследователи даже смогли узнать ряд строений и определить, что это здания старого Брюсселя. Однако бросается в глаза чрезмерно резкое сокращение размеров фигур- прием, с помощью которого мастер стремится передать глубину пространства (сравнительно недалеко расположенные от персонажей первого плана фигурки родителей Марии- Иоахима и Анны- кажутся поэтому несоразмерно маленькими). В изображении младенца сказывается недостаточное знание детских пропорций, чувствуется скованность движений. Нидерландские художники значительно позже, чем итальянские, овладевают искусством передачи обнаженного тела. Это объясняется не только влиянием церкви, но и слабым знакомством с античным наследием.</w:t>
      </w: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  <w:r>
        <w:rPr>
          <w:rFonts w:ascii="Courier New" w:hAnsi="Courier New"/>
          <w:sz w:val="28"/>
        </w:rPr>
        <w:t>В отличие от своих предшественников, изображавших персонажей картин в созерцательном состоянии, не раскрывая их эмоций,</w:t>
      </w:r>
      <w:r>
        <w:rPr>
          <w:sz w:val="28"/>
        </w:rPr>
        <w:t xml:space="preserve"> Рогир ван дер Вейден стремится к передаче человеческих чувств. Лицо Луки отражает его взволнованность, он весь поглощен процессом творчества. Это лицо, несомненно увиденное в жизни, возможно, автопортрет художника. </w:t>
      </w: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центре эрмитажной картины (а это один из нескольких сохранившихся вариантов произведения) проходит вертикальный шов. В прошлом, когда эта работа находилась в Испании, ее распилили на две части. В 1850 году изображение Луки было приобретено в Голландии и поступило в Эрмитаж как самостоятельное произведение. В 1884 году в Петербург было доставлено изображение Мадонны. Когда выяснилось, что это две части одной композиции, их, объединив, перевели с досок на холст. Несмотря на то, что в результате перевода и под воздействием времени картина несколько поблекла, она и сейчас радует глаз звучными красками. Мы любуемся красотой ткани и золотым шитьем платья Мадонны, драгоценными камнями ее украшений, подробно и любовно написанными деталями одежды.</w:t>
      </w: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pStyle w:val="1"/>
        <w:widowControl/>
        <w:jc w:val="center"/>
      </w:pPr>
      <w:bookmarkStart w:id="8" w:name="_Toc461376120"/>
      <w:r>
        <w:t>3. Заключение</w:t>
      </w:r>
      <w:bookmarkEnd w:id="8"/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Сравнивая образы Мадонны нидерландских и немецкого мастеров, нужно отметить мягкость и теплоту работ нидерландских живописцев. Немецкие композиции более схематичны, и скорее, напоминают иконы, нежели вольные полотна. Во всех деталях заключен некий аллегорический, религиозный смысл. Для сравнения-  «Мадонна с куропатками» Ван Дейка имеет скорее театральное воплощение.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Мне более близки полотна нидерландских мастеров, мягкость и округлость линий и четкая обрисовка деталей в которых не может оставить равнодушным ни одного человека. </w:t>
      </w: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  <w:r>
        <w:rPr>
          <w:rFonts w:ascii="Courier New" w:hAnsi="Courier New"/>
          <w:sz w:val="28"/>
        </w:rPr>
        <w:t>Тем не менее, несмотря на разницу восприятия образа Мадонны живописцами, чувствуется любовь и нежность, которую они постарались перенести на полотно. И даже через век мы чувствуем то нежное чувство, с которым писался образ Мадонны-  сам образ Матери.</w:t>
      </w:r>
      <w:r>
        <w:rPr>
          <w:sz w:val="28"/>
        </w:rPr>
        <w:t xml:space="preserve"> </w:t>
      </w: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widowControl/>
        <w:spacing w:line="360" w:lineRule="auto"/>
        <w:ind w:firstLine="709"/>
        <w:jc w:val="both"/>
        <w:rPr>
          <w:sz w:val="28"/>
        </w:rPr>
      </w:pPr>
    </w:p>
    <w:p w:rsidR="006A5679" w:rsidRDefault="006A5679">
      <w:pPr>
        <w:pStyle w:val="1"/>
        <w:widowControl/>
        <w:jc w:val="center"/>
      </w:pPr>
      <w:r>
        <w:rPr>
          <w:lang w:val="en-US"/>
        </w:rPr>
        <w:tab/>
      </w:r>
      <w:bookmarkStart w:id="9" w:name="_Toc461376121"/>
      <w:r>
        <w:t>Список использованной литературы.</w:t>
      </w:r>
      <w:bookmarkEnd w:id="9"/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widowControl/>
        <w:spacing w:line="360" w:lineRule="auto"/>
        <w:jc w:val="both"/>
        <w:rPr>
          <w:rFonts w:ascii="Courier New" w:hAnsi="Courier New"/>
          <w:sz w:val="28"/>
        </w:rPr>
      </w:pPr>
    </w:p>
    <w:p w:rsidR="006A5679" w:rsidRDefault="006A5679">
      <w:pPr>
        <w:pStyle w:val="a9"/>
        <w:widowControl/>
        <w:rPr>
          <w:rFonts w:ascii="Courier New" w:hAnsi="Courier New"/>
        </w:rPr>
      </w:pPr>
      <w:r>
        <w:rPr>
          <w:rFonts w:ascii="Courier New" w:hAnsi="Courier New"/>
        </w:rPr>
        <w:t>1. Любимов Л.Л. Небо не слишком высоко.- М: «Просвещение», 1989</w:t>
      </w:r>
    </w:p>
    <w:p w:rsidR="006A5679" w:rsidRDefault="006A5679">
      <w:pPr>
        <w:pStyle w:val="a9"/>
        <w:widowControl/>
        <w:rPr>
          <w:rFonts w:ascii="Courier New" w:hAnsi="Courier New"/>
        </w:rPr>
      </w:pPr>
      <w:r>
        <w:rPr>
          <w:rFonts w:ascii="Courier New" w:hAnsi="Courier New"/>
        </w:rPr>
        <w:t>2. Муранов П.П. Образы Италии.- Москва: «Республика», 1994</w:t>
      </w:r>
    </w:p>
    <w:p w:rsidR="006A5679" w:rsidRDefault="006A5679">
      <w:pPr>
        <w:pStyle w:val="a9"/>
        <w:widowControl/>
        <w:rPr>
          <w:rFonts w:ascii="Courier New" w:hAnsi="Courier New"/>
        </w:rPr>
      </w:pPr>
      <w:r>
        <w:rPr>
          <w:rFonts w:ascii="Courier New" w:hAnsi="Courier New"/>
        </w:rPr>
        <w:t>3. Персианова О.М. Эрмитаж. Путеводитель по залам музея.- Ленинград: «Аврора», 1985</w:t>
      </w:r>
    </w:p>
    <w:p w:rsidR="006A5679" w:rsidRDefault="006A5679">
      <w:pPr>
        <w:widowControl/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4.Шапиро Ю.Г. Эрмитаж. По выставкам и залам.- Л: «Искусство», 1983</w:t>
      </w:r>
    </w:p>
    <w:p w:rsidR="006A5679" w:rsidRDefault="006A5679">
      <w:pPr>
        <w:widowControl/>
        <w:spacing w:line="360" w:lineRule="auto"/>
        <w:ind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5. Энциклопедия искусства. том 7.//ред. М.Д. Аксенова, Москва: «Авента+», 1997</w:t>
      </w:r>
    </w:p>
    <w:p w:rsidR="006A5679" w:rsidRDefault="006A5679">
      <w:pPr>
        <w:widowControl/>
        <w:spacing w:line="360" w:lineRule="auto"/>
        <w:ind w:firstLine="709"/>
        <w:jc w:val="both"/>
        <w:rPr>
          <w:rFonts w:ascii="Courier New" w:hAnsi="Courier New"/>
          <w:sz w:val="28"/>
        </w:rPr>
      </w:pPr>
      <w:bookmarkStart w:id="10" w:name="_GoBack"/>
      <w:bookmarkEnd w:id="10"/>
    </w:p>
    <w:sectPr w:rsidR="006A5679">
      <w:headerReference w:type="default" r:id="rId6"/>
      <w:pgSz w:w="11907" w:h="16840" w:code="9"/>
      <w:pgMar w:top="1418" w:right="1418" w:bottom="156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79" w:rsidRDefault="006A5679">
      <w:r>
        <w:separator/>
      </w:r>
    </w:p>
  </w:endnote>
  <w:endnote w:type="continuationSeparator" w:id="0">
    <w:p w:rsidR="006A5679" w:rsidRDefault="006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79" w:rsidRDefault="006A5679">
      <w:r>
        <w:separator/>
      </w:r>
    </w:p>
  </w:footnote>
  <w:footnote w:type="continuationSeparator" w:id="0">
    <w:p w:rsidR="006A5679" w:rsidRDefault="006A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679" w:rsidRDefault="006A5679">
    <w:pPr>
      <w:pStyle w:val="a6"/>
      <w:framePr w:wrap="auto" w:vAnchor="text" w:hAnchor="margin" w:xAlign="center" w:y="1"/>
      <w:widowControl/>
      <w:rPr>
        <w:rStyle w:val="a7"/>
      </w:rPr>
    </w:pPr>
    <w:r>
      <w:rPr>
        <w:rStyle w:val="a7"/>
        <w:noProof/>
      </w:rPr>
      <w:t>12</w:t>
    </w:r>
  </w:p>
  <w:p w:rsidR="006A5679" w:rsidRDefault="006A5679">
    <w:pPr>
      <w:pStyle w:val="a6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9C0"/>
    <w:rsid w:val="002B49C0"/>
    <w:rsid w:val="006A5679"/>
    <w:rsid w:val="006F03E7"/>
    <w:rsid w:val="00B1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1F6D-B142-49D5-AA52-6D5423C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536"/>
        <w:tab w:val="right" w:pos="9072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536"/>
        <w:tab w:val="right" w:pos="9072"/>
      </w:tabs>
    </w:pPr>
  </w:style>
  <w:style w:type="paragraph" w:styleId="a9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tabs>
        <w:tab w:val="right" w:leader="dot" w:pos="8788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8788"/>
      </w:tabs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788"/>
      </w:tabs>
      <w:ind w:left="200"/>
    </w:pPr>
    <w:rPr>
      <w:i/>
    </w:rPr>
  </w:style>
  <w:style w:type="paragraph" w:styleId="4">
    <w:name w:val="toc 4"/>
    <w:basedOn w:val="a"/>
    <w:next w:val="a"/>
    <w:autoRedefine/>
    <w:semiHidden/>
    <w:pPr>
      <w:tabs>
        <w:tab w:val="right" w:leader="dot" w:pos="8788"/>
      </w:tabs>
      <w:ind w:left="400"/>
    </w:pPr>
    <w:rPr>
      <w:sz w:val="18"/>
    </w:rPr>
  </w:style>
  <w:style w:type="paragraph" w:styleId="5">
    <w:name w:val="toc 5"/>
    <w:basedOn w:val="a"/>
    <w:next w:val="a"/>
    <w:autoRedefine/>
    <w:semiHidden/>
    <w:pPr>
      <w:tabs>
        <w:tab w:val="right" w:leader="dot" w:pos="8788"/>
      </w:tabs>
      <w:ind w:left="600"/>
    </w:pPr>
    <w:rPr>
      <w:sz w:val="18"/>
    </w:rPr>
  </w:style>
  <w:style w:type="paragraph" w:styleId="6">
    <w:name w:val="toc 6"/>
    <w:basedOn w:val="a"/>
    <w:next w:val="a"/>
    <w:autoRedefine/>
    <w:semiHidden/>
    <w:pPr>
      <w:tabs>
        <w:tab w:val="right" w:leader="dot" w:pos="8788"/>
      </w:tabs>
      <w:ind w:left="800"/>
    </w:pPr>
    <w:rPr>
      <w:sz w:val="18"/>
    </w:rPr>
  </w:style>
  <w:style w:type="paragraph" w:styleId="7">
    <w:name w:val="toc 7"/>
    <w:basedOn w:val="a"/>
    <w:next w:val="a"/>
    <w:autoRedefine/>
    <w:semiHidden/>
    <w:pPr>
      <w:tabs>
        <w:tab w:val="right" w:leader="dot" w:pos="8788"/>
      </w:tabs>
      <w:ind w:left="1000"/>
    </w:pPr>
    <w:rPr>
      <w:sz w:val="18"/>
    </w:rPr>
  </w:style>
  <w:style w:type="paragraph" w:styleId="8">
    <w:name w:val="toc 8"/>
    <w:basedOn w:val="a"/>
    <w:next w:val="a"/>
    <w:autoRedefine/>
    <w:semiHidden/>
    <w:pPr>
      <w:tabs>
        <w:tab w:val="right" w:leader="dot" w:pos="8788"/>
      </w:tabs>
      <w:ind w:left="1200"/>
    </w:pPr>
    <w:rPr>
      <w:sz w:val="18"/>
    </w:rPr>
  </w:style>
  <w:style w:type="paragraph" w:styleId="9">
    <w:name w:val="toc 9"/>
    <w:basedOn w:val="a"/>
    <w:next w:val="a"/>
    <w:autoRedefine/>
    <w:semiHidden/>
    <w:pPr>
      <w:tabs>
        <w:tab w:val="right" w:leader="dot" w:pos="8788"/>
      </w:tabs>
      <w:ind w:left="14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Мадонны в живописи</vt:lpstr>
    </vt:vector>
  </TitlesOfParts>
  <Company>Pentagon</Company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Мадонны в живописи</dc:title>
  <dc:subject/>
  <dc:creator>NATALI the best</dc:creator>
  <cp:keywords/>
  <cp:lastModifiedBy>admin</cp:lastModifiedBy>
  <cp:revision>2</cp:revision>
  <cp:lastPrinted>1999-12-09T21:04:00Z</cp:lastPrinted>
  <dcterms:created xsi:type="dcterms:W3CDTF">2014-02-06T17:37:00Z</dcterms:created>
  <dcterms:modified xsi:type="dcterms:W3CDTF">2014-02-06T17:37:00Z</dcterms:modified>
</cp:coreProperties>
</file>