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FDE" w:rsidRDefault="001B07C4">
      <w:pPr>
        <w:pStyle w:val="1"/>
        <w:jc w:val="center"/>
      </w:pPr>
      <w:r>
        <w:t>Оценка эффективности использования дыхательных тренажеров в оздоровлении детей с аллергопатологией в условиях детского сада</w:t>
      </w:r>
    </w:p>
    <w:p w:rsidR="005F6FDE" w:rsidRPr="001B07C4" w:rsidRDefault="001B07C4">
      <w:pPr>
        <w:pStyle w:val="a3"/>
      </w:pPr>
      <w:r>
        <w:t> </w:t>
      </w:r>
    </w:p>
    <w:p w:rsidR="005F6FDE" w:rsidRDefault="001B07C4">
      <w:pPr>
        <w:pStyle w:val="a3"/>
      </w:pPr>
      <w:r>
        <w:t>Л. И. Мозжухина, Е. Н. Кузина, Л. Н. Дыбова</w:t>
      </w:r>
    </w:p>
    <w:p w:rsidR="005F6FDE" w:rsidRDefault="001B07C4">
      <w:pPr>
        <w:pStyle w:val="a3"/>
      </w:pPr>
      <w:r>
        <w:t>Аллергия - это такое состояние, иммунный ответ при котором сопровождается повреждением собственных тканей. Аллергический компонент отмечается в патогенезе многих соматических и инфекционных заболеваний. Патофизиологическими эффектами аллергического воспаления в респираторном тракте являются повышение сосудистой проницаемости и отек тканей, повышение тонуса гладкой мускулатуры и гиперсекреция слизи, что приводит к нарушению бронхиальной проводимости. Это обусловливает наличие в клинической картине таких симптомов, как затрудненное свистящее дыхание, участие в акте дыхания вспомогательной мускулатуры.</w:t>
      </w:r>
    </w:p>
    <w:p w:rsidR="005F6FDE" w:rsidRDefault="001B07C4">
      <w:pPr>
        <w:pStyle w:val="a3"/>
      </w:pPr>
      <w:r>
        <w:t>В последнее время в России наблюдается постоянное распространение аллергической патологии, и в экологически неблагоприятных регионах оно достигает 30-60 % [2]. Дети с хроническими аллергическими и инфекционными заболеваниями верхних и нижних дыхательных путей имеют, как правило, низкий уровень и дисгармоничность физического развития. Образ жизни характеризуется гипокинезией, которая порой усугубляется родительской гиперопекой. Дефицит двигательной активности снижает функциональные возможности организма и адаптивный статус, приводит к неадекватной реакции сердечно-сосудистой системы на нагрузку и вегетативной дисфункции, слабости опорнодвигательного аппарата [3].</w:t>
      </w:r>
    </w:p>
    <w:p w:rsidR="005F6FDE" w:rsidRDefault="001B07C4">
      <w:pPr>
        <w:pStyle w:val="a3"/>
      </w:pPr>
      <w:r>
        <w:t>По данным С. В. Хрущева, более 65 % детей с заболеваниями органов дыхания имеют ограничение подвижности грудной клетки и диафрагмы [4]. Дискоординация работы мышц, участвующих в акте дыхания, усугубляет вентиляционные нарушения. Регулярная физическая активность, адекватная функциональным способностям растущего организма, способна разорвать формирующиеся порочные круги. Физические упражнения (ФУ) помогают воспитать правильное дыхание и обеспечить рациональную тренировку организма детей. Кроме этого, доказано, что ФУ способствуют выработке иммунных тел, стимулируют функцию коры надпочечников и синтез стероидных гормонов, которые обладают мощным противовоспалительным и десенсибилизирующим действием [3].</w:t>
      </w:r>
    </w:p>
    <w:p w:rsidR="005F6FDE" w:rsidRDefault="001B07C4">
      <w:pPr>
        <w:pStyle w:val="a3"/>
      </w:pPr>
      <w:r>
        <w:t>Цель исследования: оценить эффективность применения дыхательных тренажеров в оздоровлении детей дошкольного возраста с аллергическими заболеваниями органов дыхания в условиях детского сада.</w:t>
      </w:r>
    </w:p>
    <w:p w:rsidR="005F6FDE" w:rsidRDefault="001B07C4">
      <w:pPr>
        <w:pStyle w:val="a3"/>
      </w:pPr>
      <w:r>
        <w:t>Материалы и методы исследования</w:t>
      </w:r>
    </w:p>
    <w:p w:rsidR="005F6FDE" w:rsidRDefault="001B07C4">
      <w:pPr>
        <w:pStyle w:val="a3"/>
      </w:pPr>
      <w:r>
        <w:t>Работа проводилась на базе МДОУ «Детский сад присмотра и надзора №10» (МДОУ №10) г. Ярославля, в котором с 2009 года реализуется программа «Здоровьесохраняющие формы работы в дошкольном учреждении». Обследовано 39 детей в возрасте 5-7 лет, посещающих ДОУ в течение не менее трех лет. Основную группу составили 20 детей (16 мальчиков и 4 девочки), которые в течение года ежедневно занимались дыхательными упражнениями с использованием трешолдов дополнительно к плановым профилактическим мероприятиям. В группу сравнения вошли 19 детей (14 мальчиков и 5 девочек), с которыми на протяжении того же периода времени проводился только комплекс общих оздоровительных мероприятий.</w:t>
      </w:r>
    </w:p>
    <w:p w:rsidR="005F6FDE" w:rsidRDefault="001B07C4">
      <w:pPr>
        <w:pStyle w:val="a3"/>
      </w:pPr>
      <w:r>
        <w:t>В нозологической структуре преобладали сочетанные аллергические заболевания кожи и респираторного тракта (табл. 1).</w:t>
      </w:r>
    </w:p>
    <w:p w:rsidR="005F6FDE" w:rsidRDefault="001B07C4">
      <w:pPr>
        <w:pStyle w:val="a3"/>
      </w:pPr>
      <w:r>
        <w:t>Для занятий с детьми основной группы использовались дыхательные тренажеры фирмы Respironics inc. (США) - трешолды (Threchold IMT). Thredshold IMT представляет собой тренажер дыхательных мышц, который помогает повысить их силу и выносливость за счет упражнений аналогично тому, как это происходит при тренировке других мышц тела с применением отягощения. Занятия с трешолдами проводились ежедневно продолжительностью 5-7 минут, при этом в начале исследования сопротивление составляло 5 мм водного столба, а к концу - 25 мм водного столба.</w:t>
      </w:r>
    </w:p>
    <w:p w:rsidR="005F6FDE" w:rsidRDefault="001B07C4">
      <w:pPr>
        <w:pStyle w:val="a3"/>
      </w:pPr>
      <w:r>
        <w:t>Таблица 1</w:t>
      </w:r>
    </w:p>
    <w:p w:rsidR="005F6FDE" w:rsidRDefault="001B07C4">
      <w:pPr>
        <w:pStyle w:val="a3"/>
      </w:pPr>
      <w:r>
        <w:t>Нозологическая структура обследованных детей</w:t>
      </w:r>
    </w:p>
    <w:p w:rsidR="005F6FDE" w:rsidRDefault="001B07C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5F6FDE">
        <w:trPr>
          <w:trHeight w:val="43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F6FDE" w:rsidRDefault="001B07C4">
            <w:r>
              <w:t>Группа обследования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6FDE" w:rsidRDefault="001B07C4">
            <w:r>
              <w:t>Основная 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6FDE" w:rsidRDefault="001B07C4">
            <w:r>
              <w:t>Группа сравнения</w:t>
            </w:r>
          </w:p>
        </w:tc>
      </w:tr>
      <w:tr w:rsidR="005F6FDE">
        <w:trPr>
          <w:trHeight w:val="435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6FDE" w:rsidRDefault="001B07C4">
            <w:r>
              <w:t>Нозологическая форма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абс.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абс.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%</w:t>
            </w:r>
          </w:p>
        </w:tc>
      </w:tr>
      <w:tr w:rsidR="005F6FDE">
        <w:trPr>
          <w:trHeight w:val="4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6FDE" w:rsidRDefault="005F6FDE"/>
        </w:tc>
        <w:tc>
          <w:tcPr>
            <w:tcW w:w="0" w:type="auto"/>
            <w:vAlign w:val="center"/>
            <w:hideMark/>
          </w:tcPr>
          <w:p w:rsidR="005F6FDE" w:rsidRDefault="001B07C4">
            <w:r>
              <w:t>БА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35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25</w:t>
            </w:r>
          </w:p>
        </w:tc>
      </w:tr>
      <w:tr w:rsidR="005F6FDE">
        <w:trPr>
          <w:trHeight w:val="4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6FDE" w:rsidRDefault="005F6FDE"/>
        </w:tc>
        <w:tc>
          <w:tcPr>
            <w:tcW w:w="0" w:type="auto"/>
            <w:vAlign w:val="center"/>
            <w:hideMark/>
          </w:tcPr>
          <w:p w:rsidR="005F6FDE" w:rsidRDefault="001B07C4">
            <w:r>
              <w:t>АР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42</w:t>
            </w:r>
          </w:p>
        </w:tc>
      </w:tr>
      <w:tr w:rsidR="005F6FDE">
        <w:trPr>
          <w:trHeight w:val="4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6FDE" w:rsidRDefault="005F6FDE"/>
        </w:tc>
        <w:tc>
          <w:tcPr>
            <w:tcW w:w="0" w:type="auto"/>
            <w:vAlign w:val="center"/>
            <w:hideMark/>
          </w:tcPr>
          <w:p w:rsidR="005F6FDE" w:rsidRDefault="001B07C4">
            <w:r>
              <w:t>АД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13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61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62</w:t>
            </w:r>
          </w:p>
        </w:tc>
      </w:tr>
      <w:tr w:rsidR="005F6FDE">
        <w:trPr>
          <w:trHeight w:val="6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6FDE" w:rsidRDefault="005F6FDE"/>
        </w:tc>
        <w:tc>
          <w:tcPr>
            <w:tcW w:w="0" w:type="auto"/>
            <w:vAlign w:val="center"/>
            <w:hideMark/>
          </w:tcPr>
          <w:p w:rsidR="005F6FDE" w:rsidRPr="001B07C4" w:rsidRDefault="001B07C4">
            <w:pPr>
              <w:pStyle w:val="a3"/>
            </w:pPr>
            <w:r w:rsidRPr="001B07C4">
              <w:t>Сочетание</w:t>
            </w:r>
          </w:p>
          <w:p w:rsidR="005F6FDE" w:rsidRPr="001B07C4" w:rsidRDefault="001B07C4">
            <w:pPr>
              <w:pStyle w:val="a3"/>
            </w:pPr>
            <w:r w:rsidRPr="001B07C4">
              <w:t>заболеваний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91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83</w:t>
            </w:r>
          </w:p>
        </w:tc>
      </w:tr>
    </w:tbl>
    <w:p w:rsidR="005F6FDE" w:rsidRPr="001B07C4" w:rsidRDefault="001B07C4">
      <w:pPr>
        <w:pStyle w:val="a3"/>
      </w:pPr>
      <w:r>
        <w:t>Примечание: p&gt;0,05; БА - бронхиальная астма; АР - аллергический ринит; АД - атопический дерматит.</w:t>
      </w:r>
    </w:p>
    <w:p w:rsidR="005F6FDE" w:rsidRDefault="001B07C4">
      <w:pPr>
        <w:pStyle w:val="a3"/>
      </w:pPr>
      <w:r>
        <w:t>За основу оценки эффективности проводимых мероприятий были взяты количественные показатели физического развития и функциональных возможностей детского организма в ходе оздоровительного процесса. При этом использовались следующие параметры:</w:t>
      </w:r>
    </w:p>
    <w:p w:rsidR="005F6FDE" w:rsidRDefault="001B07C4">
      <w:pPr>
        <w:pStyle w:val="a3"/>
      </w:pPr>
      <w:r>
        <w:t>1. антропометрические: масса и длина тела с оценкой по региональным стандартам, расчет индекса массы тела (ИМТ);</w:t>
      </w:r>
    </w:p>
    <w:p w:rsidR="005F6FDE" w:rsidRDefault="001B07C4">
      <w:pPr>
        <w:pStyle w:val="a3"/>
      </w:pPr>
      <w:r>
        <w:t>2. респираторные тесты:пикфлоуметрия (ПФМ) - пиковая скорость выдоха, спирометрия (жизненная емкость легких - ЖЕЛ);</w:t>
      </w:r>
    </w:p>
    <w:p w:rsidR="005F6FDE" w:rsidRDefault="001B07C4">
      <w:pPr>
        <w:pStyle w:val="a3"/>
      </w:pPr>
      <w:r>
        <w:t>3. силовые тесты, характеризующие функциональную активность мышечной системы: динамометрия (ДМ) - сила мышц кистей рук (СМКР), экскурсия грудной клетки (ЭГК), сила мышц спины (Бмс), сила мышц живота (Бмж).</w:t>
      </w:r>
    </w:p>
    <w:p w:rsidR="005F6FDE" w:rsidRDefault="001B07C4">
      <w:pPr>
        <w:pStyle w:val="a3"/>
      </w:pPr>
      <w:r>
        <w:t>4. количественная оценка уровня физического здоровья (УФЗ), по Г. Л. Апанасенко (1992), с определением жизненного индекса, индекса Робинсона, силовой выносливости, индексов антропометрии и Руфье [1]. При сумме баллов &lt;5 УФЗ оценивался как низкий, при сумме 6-10 баллов - средний, при сумме &gt;11 баллов - высокий.</w:t>
      </w:r>
    </w:p>
    <w:p w:rsidR="005F6FDE" w:rsidRDefault="001B07C4">
      <w:pPr>
        <w:pStyle w:val="a3"/>
      </w:pPr>
      <w:r>
        <w:t>Оценка результатов проводилась в соответствии с общепринятыми стандартами [1]. Анализ эффективности оздоровления проводился на основании сопоставления данных двух медицинских осмотров - в начале и в конце учебного года. Для всех параметров, характеризующих функциональное состояние организма, рассчитывался коэффициент прироста по специальной формуле В. И. Усакова: высокий коэффициент соответствовал &gt;15 %, средний - 8-14 %, низкий - &lt;8 %. Статистическая обработка полученных результатов проводилась с помощью программы Statistica 8.0.</w:t>
      </w:r>
    </w:p>
    <w:p w:rsidR="005F6FDE" w:rsidRDefault="001B07C4">
      <w:pPr>
        <w:pStyle w:val="a3"/>
      </w:pPr>
      <w:r>
        <w:t>Результаты и обсуждение</w:t>
      </w:r>
    </w:p>
    <w:p w:rsidR="005F6FDE" w:rsidRDefault="001B07C4">
      <w:pPr>
        <w:pStyle w:val="a3"/>
      </w:pPr>
      <w:r>
        <w:t>Исходные антропометрические параметры детей представлены в табл. 2</w:t>
      </w:r>
    </w:p>
    <w:p w:rsidR="005F6FDE" w:rsidRDefault="001B07C4">
      <w:pPr>
        <w:pStyle w:val="a3"/>
      </w:pPr>
      <w:r>
        <w:t>Таблица 2</w:t>
      </w:r>
    </w:p>
    <w:p w:rsidR="005F6FDE" w:rsidRDefault="001B07C4">
      <w:pPr>
        <w:pStyle w:val="a3"/>
      </w:pPr>
      <w:r>
        <w:t>Исходные антропометрические параметры у обследованных детей</w:t>
      </w:r>
    </w:p>
    <w:p w:rsidR="005F6FDE" w:rsidRDefault="001B07C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240"/>
        <w:gridCol w:w="240"/>
        <w:gridCol w:w="480"/>
        <w:gridCol w:w="480"/>
        <w:gridCol w:w="480"/>
        <w:gridCol w:w="480"/>
      </w:tblGrid>
      <w:tr w:rsidR="005F6FDE">
        <w:trPr>
          <w:trHeight w:val="69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F6FDE" w:rsidRDefault="001B07C4">
            <w:r>
              <w:t>Группа обследования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F6FDE" w:rsidRPr="001B07C4" w:rsidRDefault="001B07C4">
            <w:pPr>
              <w:pStyle w:val="a3"/>
            </w:pPr>
            <w:r w:rsidRPr="001B07C4">
              <w:t>ИМТ</w:t>
            </w:r>
          </w:p>
          <w:p w:rsidR="005F6FDE" w:rsidRPr="001B07C4" w:rsidRDefault="001B07C4">
            <w:pPr>
              <w:pStyle w:val="a3"/>
            </w:pPr>
            <w:r w:rsidRPr="001B07C4">
              <w:t>^±m)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6FDE" w:rsidRDefault="001B07C4">
            <w:r>
              <w:t>Нормальные значения антропометрии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6FDE" w:rsidRDefault="001B07C4">
            <w:r>
              <w:t>Дефицит массы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F6FDE" w:rsidRDefault="001B07C4">
            <w:r>
              <w:t>Избыток массы</w:t>
            </w:r>
          </w:p>
        </w:tc>
      </w:tr>
      <w:tr w:rsidR="005F6FDE">
        <w:trPr>
          <w:trHeight w:val="45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F6FDE" w:rsidRDefault="005F6FDE"/>
        </w:tc>
        <w:tc>
          <w:tcPr>
            <w:tcW w:w="0" w:type="auto"/>
            <w:vMerge/>
            <w:vAlign w:val="center"/>
            <w:hideMark/>
          </w:tcPr>
          <w:p w:rsidR="005F6FDE" w:rsidRPr="001B07C4" w:rsidRDefault="005F6FDE"/>
        </w:tc>
        <w:tc>
          <w:tcPr>
            <w:tcW w:w="0" w:type="auto"/>
            <w:vAlign w:val="center"/>
            <w:hideMark/>
          </w:tcPr>
          <w:p w:rsidR="005F6FDE" w:rsidRDefault="001B07C4">
            <w:r>
              <w:t>абс.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абс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%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абс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%</w:t>
            </w:r>
          </w:p>
        </w:tc>
      </w:tr>
      <w:tr w:rsidR="005F6FDE">
        <w:trPr>
          <w:trHeight w:val="88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Основная группа</w:t>
            </w:r>
          </w:p>
        </w:tc>
        <w:tc>
          <w:tcPr>
            <w:tcW w:w="0" w:type="auto"/>
            <w:vAlign w:val="center"/>
            <w:hideMark/>
          </w:tcPr>
          <w:p w:rsidR="005F6FDE" w:rsidRPr="001B07C4" w:rsidRDefault="001B07C4">
            <w:pPr>
              <w:pStyle w:val="a3"/>
            </w:pPr>
            <w:r w:rsidRPr="001B07C4">
              <w:t>16,5</w:t>
            </w:r>
          </w:p>
          <w:p w:rsidR="005F6FDE" w:rsidRPr="001B07C4" w:rsidRDefault="001B07C4">
            <w:pPr>
              <w:pStyle w:val="a3"/>
            </w:pPr>
            <w:r w:rsidRPr="001B07C4">
              <w:t>(кг/м2)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10*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30*</w:t>
            </w:r>
          </w:p>
        </w:tc>
      </w:tr>
      <w:tr w:rsidR="005F6FDE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Группа сравнения</w:t>
            </w:r>
          </w:p>
        </w:tc>
        <w:tc>
          <w:tcPr>
            <w:tcW w:w="0" w:type="auto"/>
            <w:vAlign w:val="center"/>
            <w:hideMark/>
          </w:tcPr>
          <w:p w:rsidR="005F6FDE" w:rsidRPr="001B07C4" w:rsidRDefault="001B07C4">
            <w:pPr>
              <w:pStyle w:val="a3"/>
            </w:pPr>
            <w:r w:rsidRPr="001B07C4">
              <w:t>16,1</w:t>
            </w:r>
          </w:p>
          <w:p w:rsidR="005F6FDE" w:rsidRPr="001B07C4" w:rsidRDefault="001B07C4">
            <w:pPr>
              <w:pStyle w:val="a3"/>
            </w:pPr>
            <w:r w:rsidRPr="001B07C4">
              <w:t>(кг/м2)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76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19</w:t>
            </w:r>
          </w:p>
        </w:tc>
      </w:tr>
    </w:tbl>
    <w:p w:rsidR="005F6FDE" w:rsidRPr="001B07C4" w:rsidRDefault="001B07C4">
      <w:pPr>
        <w:pStyle w:val="a3"/>
      </w:pPr>
      <w:r>
        <w:t>Примечание: * - p&lt;0,05; ИМТ - индекс массы тела.</w:t>
      </w:r>
    </w:p>
    <w:p w:rsidR="005F6FDE" w:rsidRDefault="001B07C4">
      <w:pPr>
        <w:pStyle w:val="a3"/>
      </w:pPr>
      <w:r>
        <w:t>Среди пациентов основной группы достоверно чаще (p&lt;0,05) встречались дети с дисгармоничным физическим развитием - дефицитом и избытком массы тела (табл. 2). Показатели функциональных возможностей респираторной системы (ПФМ, спирометрия, ЭГК) также достоверно выше (p&lt;0,05) были у детей основной группы (табл. 3). Функциональная активность мышц спины и живота, силы мышц кистей рук не имела групповых различий (табл. 3). У всех детей зарегистрирован низкий уровень физического здоровья (УФЗ). Это свидетельствует о недостаточных резервных возможностях растущего организма, что может быть обусловлено не только наличием заболеваний, но и отклонениями в образе жизни современного поколения детей, недостатками в системе физического воспитания в семье и ДОУ.</w:t>
      </w:r>
    </w:p>
    <w:p w:rsidR="005F6FDE" w:rsidRDefault="001B07C4">
      <w:pPr>
        <w:pStyle w:val="a3"/>
      </w:pPr>
      <w:r>
        <w:t>Таблица 3</w:t>
      </w:r>
    </w:p>
    <w:p w:rsidR="005F6FDE" w:rsidRDefault="001B07C4">
      <w:pPr>
        <w:pStyle w:val="a3"/>
      </w:pPr>
      <w:r>
        <w:t>Исходные функциональные параметры у обследованных детей</w:t>
      </w:r>
    </w:p>
    <w:p w:rsidR="005F6FDE" w:rsidRDefault="001B07C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5F6FDE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Основная группа ^±m)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Группа сравнения ^±m)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ПСВ (л/мин.)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164,3±1,5*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150,6±2,1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ЖЕЛ (мл)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1272,4±21,3*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1227±13,6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ЭГК (см)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4,9±0,2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4,0±0,5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Гмс (сек.)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27,3±4,3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30,5±5,8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Гмж (сек.)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30,5±5,7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23,5±3,2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МСКР (кг)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7,0±2,4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8,0±3,1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УФЗ (усл. ед.)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4,8±1,6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4,9±1,4</w:t>
            </w:r>
          </w:p>
        </w:tc>
      </w:tr>
    </w:tbl>
    <w:p w:rsidR="005F6FDE" w:rsidRPr="001B07C4" w:rsidRDefault="001B07C4">
      <w:pPr>
        <w:pStyle w:val="a3"/>
      </w:pPr>
      <w:r>
        <w:t>Примечание: * - p&lt;0,05; ПСВ - пиковая скорость выдоха; ЖЕЛ - жизненная емкость легких; ЭГК - экскурсия грудной клетки; Гмс - сила мышц спины; Гмж - сила мышц живота; МСКР - мышечная сила кистей рук; УФЗ - уровень физического здоровья.</w:t>
      </w:r>
    </w:p>
    <w:p w:rsidR="005F6FDE" w:rsidRDefault="001B07C4">
      <w:pPr>
        <w:pStyle w:val="a3"/>
      </w:pPr>
      <w:r>
        <w:t>Коэффициент прироста функциональные показателей у детей</w:t>
      </w:r>
    </w:p>
    <w:p w:rsidR="005F6FDE" w:rsidRDefault="001B07C4">
      <w:pPr>
        <w:pStyle w:val="a3"/>
      </w:pPr>
      <w:r>
        <w:t>Таблица 4</w:t>
      </w:r>
    </w:p>
    <w:p w:rsidR="005F6FDE" w:rsidRDefault="001B07C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5F6FDE">
        <w:trPr>
          <w:trHeight w:val="900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Показатели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Основная группа (%)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Группа сравнения (%)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ИМТ (кг/м2)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-2,0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+2,0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ПСВ (л/мин.)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6,3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5,9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ЖЕЛ (мл)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11,5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12,1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МСКР (кг)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18,7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17,5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ЭГК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26,0*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15,0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Бмс (сек.)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68,9*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23,6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Бмж (сек.)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68,8*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37,2</w:t>
            </w:r>
          </w:p>
        </w:tc>
      </w:tr>
      <w:tr w:rsidR="005F6FDE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5F6FDE" w:rsidRDefault="001B07C4">
            <w:r>
              <w:t>УФЗ (усл. ед.)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12,6</w:t>
            </w:r>
          </w:p>
        </w:tc>
        <w:tc>
          <w:tcPr>
            <w:tcW w:w="0" w:type="auto"/>
            <w:vAlign w:val="center"/>
            <w:hideMark/>
          </w:tcPr>
          <w:p w:rsidR="005F6FDE" w:rsidRDefault="001B07C4">
            <w:r>
              <w:t>16,8</w:t>
            </w:r>
          </w:p>
        </w:tc>
      </w:tr>
    </w:tbl>
    <w:p w:rsidR="005F6FDE" w:rsidRPr="001B07C4" w:rsidRDefault="001B07C4">
      <w:pPr>
        <w:pStyle w:val="a3"/>
      </w:pPr>
      <w:r>
        <w:t>Примечание: * - p&lt;0,05; ИМТ - индекс массы тела; ПСВ - пиковая скорость выдоха; ЖЕЛ - жизненная емкость легких; МСКР - мышечная сила кистей рук; Бмс - сила мышц спины; Бмж - сила мышц живота; УФЗ - уровень физического здоровья.</w:t>
      </w:r>
    </w:p>
    <w:p w:rsidR="005F6FDE" w:rsidRDefault="001B07C4">
      <w:pPr>
        <w:pStyle w:val="a3"/>
      </w:pPr>
      <w:r>
        <w:t>Прирост параметров, характеризующих функциональную активность мышечной системы (ЭГК, Бмс, Бмж), был достоверно выше в группе детей, которые дополнительно занимались дыхательной гимнастикой с трешолдами (p&lt;0,05). Известно, что увеличение силы мышц грудной клетки и диафрагмы способствует эффективной вентиляции легких, оптимизирует основной защитный механизм органов дыхания - мукоцилиарный клиренс [4].</w:t>
      </w:r>
    </w:p>
    <w:p w:rsidR="005F6FDE" w:rsidRDefault="001B07C4">
      <w:pPr>
        <w:pStyle w:val="a3"/>
      </w:pPr>
      <w:r>
        <w:t>В то же время коэффициент прироста показателей ПСВ и ЖЕЛ, количественной оценки УФЗ был несколько выше в группе детей, получающих только общий комплекс оздоровления. Это обусловлено тем, что у четверых детей основной группы на фоне нарушения родителями гипоал- лергенного режима и базисной терапии в течение года регистрировалась потеря контроля над симптомами БА. На период болезни они не посещали ДОУ и не занимались дома в полной мере физическими упражнениями, в том числе дыхательной гимнастикой. В связи с этим требовалось время для восстановления функциональных возможностей основных систем организма (дыхательной и сердечно-сосудистой), количественная оценка деятельности которых в покое и после физической нагрузки входит в структуру УФЗ. Полученные результаты указывают на необходимость усиления работы по повышению медицинской активности семьи, имеющей больного БА.</w:t>
      </w:r>
    </w:p>
    <w:p w:rsidR="005F6FDE" w:rsidRDefault="001B07C4">
      <w:pPr>
        <w:pStyle w:val="a3"/>
      </w:pPr>
      <w:r>
        <w:t>Заключение</w:t>
      </w:r>
    </w:p>
    <w:p w:rsidR="005F6FDE" w:rsidRDefault="001B07C4">
      <w:pPr>
        <w:pStyle w:val="a3"/>
      </w:pPr>
      <w:r>
        <w:t>Результаты проведенного исследования позволяют сделать вывод об эффективности системы оздоровления дошкольников с аллергическими заболеваниями в условиях специализированного детского сада. В течение года отмечается значительный прирост показателей уровня физического здоровья. В группе детей, дополнительно занимающихся дыхательной гимнастикой с использованием трешолдов, наблюдается более высокий, чем в группе сравнения, коэффициент увеличения параметров (p&lt;0,05), характеризующих резервные возможности мышечной системы (экскурсия грудной клетки, сила мышц спины и живота). У детей с бронхиальной астмой оздоровительные мероприятия должны проводиться на фоне адекватной базисной терапии и сотрудничества с родителями.</w:t>
      </w:r>
    </w:p>
    <w:p w:rsidR="005F6FDE" w:rsidRDefault="001B07C4">
      <w:pPr>
        <w:pStyle w:val="a3"/>
      </w:pPr>
      <w:r>
        <w:t>Список литературы</w:t>
      </w:r>
    </w:p>
    <w:p w:rsidR="005F6FDE" w:rsidRDefault="001B07C4">
      <w:pPr>
        <w:pStyle w:val="a3"/>
      </w:pPr>
      <w:r>
        <w:t>1. Апанасенко, Г. Л. Эволюция биоэнергетики и здоровье человека [Текст] / Г. Л. Апанасенко. - СПб., 1992. - 123 с.</w:t>
      </w:r>
    </w:p>
    <w:p w:rsidR="005F6FDE" w:rsidRDefault="001B07C4">
      <w:pPr>
        <w:pStyle w:val="a3"/>
      </w:pPr>
      <w:r>
        <w:t>2. Кучма, В. Р., Степанова, М. И. Актуальные гигиенические проблемы дошкольного образования [Текст] / В. Р. Кучма, М. И. Степанова // Материалы Всероссийской НПК с международным участием «Современные проблемы охраны здоровья детей в дошкольных образовательных учреждениях». - Москва, 2011. - С. 9-16.</w:t>
      </w:r>
    </w:p>
    <w:p w:rsidR="005F6FDE" w:rsidRDefault="001B07C4">
      <w:pPr>
        <w:pStyle w:val="a3"/>
      </w:pPr>
      <w:r>
        <w:t>3. Соколова, С. Б. Гигиеническая оценка эффективности оздоровительной работы среди часто болеющих детей в дошкольных образовательных учре</w:t>
      </w:r>
    </w:p>
    <w:p w:rsidR="005F6FDE" w:rsidRDefault="001B07C4">
      <w:pPr>
        <w:pStyle w:val="a3"/>
      </w:pPr>
      <w:r>
        <w:t>ждениях [Текст] / С. Б. Соколова // Материалы Всероссийской НПК с международным участием «Современные проблемы охраны здоровья детей в дошкольных образовательных учреждениях». - Москва,</w:t>
      </w:r>
    </w:p>
    <w:p w:rsidR="005F6FDE" w:rsidRDefault="001B07C4">
      <w:pPr>
        <w:pStyle w:val="a3"/>
      </w:pPr>
      <w:r>
        <w:t>2011.- С. 202-203.</w:t>
      </w:r>
    </w:p>
    <w:p w:rsidR="005F6FDE" w:rsidRDefault="001B07C4">
      <w:pPr>
        <w:pStyle w:val="a3"/>
      </w:pPr>
      <w:r>
        <w:t>4. Хрущев, С. В., Симонова, О. И. Физическая культура детей с заболеваниями органов дыхания [Текст] / С. В. Хрущев, О. И. Симонова. - М. : Медицина, 2006. - С. 16-19, 179-242.</w:t>
      </w:r>
    </w:p>
    <w:p w:rsidR="005F6FDE" w:rsidRDefault="001B07C4">
      <w:pPr>
        <w:pStyle w:val="a3"/>
      </w:pPr>
      <w:r>
        <w:t>5. Haland G., Carlsen K. C., Sandvik L., Devulapalli</w:t>
      </w:r>
    </w:p>
    <w:p w:rsidR="005F6FDE" w:rsidRDefault="001B07C4">
      <w:pPr>
        <w:pStyle w:val="a3"/>
      </w:pPr>
      <w:r>
        <w:t>C.S., Munthe-Kaas M.C., Pettersen M., Carlsen K.H. Re- dused lung function at birth and the risk of asthma at 10 years of age. N. Engl J. Med. 2006; 355:1682-1689.</w:t>
      </w:r>
      <w:bookmarkStart w:id="0" w:name="_GoBack"/>
      <w:bookmarkEnd w:id="0"/>
    </w:p>
    <w:sectPr w:rsidR="005F6F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7C4"/>
    <w:rsid w:val="001B07C4"/>
    <w:rsid w:val="005F6FDE"/>
    <w:rsid w:val="00E1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B9E4A-6AA6-4CB1-9C71-DAACA873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1643</Words>
  <Characters>9368</Characters>
  <Application>Microsoft Office Word</Application>
  <DocSecurity>0</DocSecurity>
  <Lines>78</Lines>
  <Paragraphs>21</Paragraphs>
  <ScaleCrop>false</ScaleCrop>
  <Company>diakov.net</Company>
  <LinksUpToDate>false</LinksUpToDate>
  <CharactersWithSpaces>10990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эффективности использования дыхательных тренажеров в оздоровлении детей с аллергопатологией в условиях детского сада</dc:title>
  <dc:subject/>
  <dc:creator>Irina</dc:creator>
  <cp:keywords/>
  <dc:description/>
  <cp:lastModifiedBy>Irina</cp:lastModifiedBy>
  <cp:revision>2</cp:revision>
  <dcterms:created xsi:type="dcterms:W3CDTF">2014-08-02T20:07:00Z</dcterms:created>
  <dcterms:modified xsi:type="dcterms:W3CDTF">2014-08-02T20:07:00Z</dcterms:modified>
</cp:coreProperties>
</file>