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Pr="005C3748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24215E" w:rsidRDefault="0024215E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5C3748" w:rsidRDefault="005C3748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5C3748" w:rsidRPr="005C3748" w:rsidRDefault="005C3748" w:rsidP="005C3748">
      <w:pPr>
        <w:pStyle w:val="Style1"/>
        <w:keepNext/>
        <w:spacing w:line="360" w:lineRule="auto"/>
        <w:ind w:firstLine="720"/>
        <w:jc w:val="both"/>
        <w:rPr>
          <w:rStyle w:val="FontStyle11"/>
          <w:b w:val="0"/>
          <w:sz w:val="28"/>
        </w:rPr>
      </w:pPr>
    </w:p>
    <w:p w:rsidR="00DE5F42" w:rsidRPr="005C3748" w:rsidRDefault="00DE5F42" w:rsidP="005C3748">
      <w:pPr>
        <w:pStyle w:val="Style1"/>
        <w:keepNext/>
        <w:spacing w:line="360" w:lineRule="auto"/>
        <w:ind w:firstLine="720"/>
        <w:jc w:val="center"/>
        <w:rPr>
          <w:rStyle w:val="FontStyle11"/>
          <w:sz w:val="28"/>
        </w:rPr>
      </w:pPr>
      <w:r w:rsidRPr="005C3748">
        <w:rPr>
          <w:rStyle w:val="FontStyle11"/>
          <w:sz w:val="28"/>
        </w:rPr>
        <w:t>Происхождение и региональные траектории потоков гидротерм, связа</w:t>
      </w:r>
      <w:r w:rsidR="0024215E" w:rsidRPr="005C3748">
        <w:rPr>
          <w:rStyle w:val="FontStyle11"/>
          <w:sz w:val="28"/>
        </w:rPr>
        <w:t>нных с эпитермальными системами</w:t>
      </w:r>
    </w:p>
    <w:p w:rsidR="00DE5F42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br w:type="page"/>
      </w:r>
      <w:r w:rsidR="00DE5F42" w:rsidRPr="005C3748">
        <w:rPr>
          <w:rStyle w:val="FontStyle16"/>
          <w:sz w:val="28"/>
        </w:rPr>
        <w:lastRenderedPageBreak/>
        <w:t>Гидротермы, ответственные за низкосерную эпитермальную минерализацию, преимущественно метеорные, несмотря на то, что предполагаемым источником тепла, генерирующим гидротермальную конвекцию, в большинстве случаев является магма. Этот вывод основывается, главным образом, на содержаниях кислорода - 18 и дейтерия</w:t>
      </w:r>
      <w:r w:rsidR="005C3748">
        <w:rPr>
          <w:rStyle w:val="FontStyle16"/>
          <w:sz w:val="28"/>
        </w:rPr>
        <w:t xml:space="preserve"> </w:t>
      </w:r>
      <w:r w:rsidR="00DE5F42" w:rsidRPr="005C3748">
        <w:rPr>
          <w:rStyle w:val="FontStyle16"/>
          <w:sz w:val="28"/>
        </w:rPr>
        <w:t>в эпитермальных флюидах. Значения</w:t>
      </w:r>
      <w:r w:rsidRPr="005C3748">
        <w:rPr>
          <w:rStyle w:val="FontStyle16"/>
          <w:sz w:val="28"/>
        </w:rPr>
        <w:t xml:space="preserve"> </w:t>
      </w:r>
      <w:r w:rsidR="00DE5F42" w:rsidRPr="005C3748">
        <w:rPr>
          <w:rStyle w:val="FontStyle16"/>
          <w:sz w:val="28"/>
        </w:rPr>
        <w:t>5Д</w:t>
      </w:r>
      <w:r w:rsidR="00DE5F42" w:rsidRPr="005C3748">
        <w:rPr>
          <w:rStyle w:val="FontStyle16"/>
          <w:sz w:val="28"/>
          <w:vertAlign w:val="superscript"/>
        </w:rPr>
        <w:t>1</w:t>
      </w:r>
      <w:r w:rsidR="00DE5F42" w:rsidRPr="005C3748">
        <w:rPr>
          <w:rStyle w:val="FontStyle16"/>
          <w:sz w:val="28"/>
        </w:rPr>
        <w:t xml:space="preserve"> обычно определяется прямым анализом флюидных включений, тогда</w:t>
      </w:r>
      <w:r w:rsidRPr="005C3748">
        <w:rPr>
          <w:rStyle w:val="FontStyle16"/>
          <w:sz w:val="28"/>
        </w:rPr>
        <w:t xml:space="preserve"> </w:t>
      </w:r>
      <w:r w:rsidR="00DE5F42" w:rsidRPr="005C3748">
        <w:rPr>
          <w:rStyle w:val="FontStyle16"/>
          <w:sz w:val="28"/>
        </w:rPr>
        <w:t>как 5</w:t>
      </w:r>
      <w:r w:rsidR="00DE5F42" w:rsidRPr="005C3748">
        <w:rPr>
          <w:rStyle w:val="FontStyle16"/>
          <w:sz w:val="28"/>
          <w:vertAlign w:val="superscript"/>
        </w:rPr>
        <w:t>18</w:t>
      </w:r>
      <w:r w:rsidR="00DE5F42" w:rsidRPr="005C3748">
        <w:rPr>
          <w:rStyle w:val="FontStyle16"/>
          <w:sz w:val="28"/>
        </w:rPr>
        <w:t>О определяется по анализам кристаллов кварца и кальцита, предполагая, что один из них имеет независимый геотермометр</w:t>
      </w:r>
      <w:r w:rsidRPr="005C3748">
        <w:rPr>
          <w:rStyle w:val="FontStyle16"/>
          <w:sz w:val="28"/>
        </w:rPr>
        <w:t>.</w:t>
      </w:r>
      <w:r w:rsidR="00DE5F42" w:rsidRPr="005C3748">
        <w:rPr>
          <w:rStyle w:val="FontStyle16"/>
          <w:sz w:val="28"/>
        </w:rPr>
        <w:t xml:space="preserve"> Изотопный состав флюидов некоторых эпитермальных месторождений, рассчитанный по изотопному составу гидротермальных минералов, был использован</w:t>
      </w:r>
      <w:r w:rsidRPr="005C3748">
        <w:rPr>
          <w:rStyle w:val="FontStyle16"/>
          <w:sz w:val="28"/>
        </w:rPr>
        <w:t xml:space="preserve"> </w:t>
      </w:r>
      <w:bookmarkStart w:id="0" w:name="bookmark0"/>
      <w:r w:rsidR="00DE5F42" w:rsidRPr="005C3748">
        <w:rPr>
          <w:rStyle w:val="FontStyle16"/>
          <w:sz w:val="28"/>
        </w:rPr>
        <w:t>С</w:t>
      </w:r>
      <w:bookmarkEnd w:id="0"/>
      <w:r w:rsidR="00DE5F42" w:rsidRPr="005C3748">
        <w:rPr>
          <w:rStyle w:val="FontStyle16"/>
          <w:sz w:val="28"/>
        </w:rPr>
        <w:t xml:space="preserve"> </w:t>
      </w:r>
      <w:r w:rsidR="00DE5F42" w:rsidRPr="005C3748">
        <w:rPr>
          <w:rStyle w:val="FontStyle16"/>
          <w:sz w:val="28"/>
          <w:lang w:val="en-US"/>
        </w:rPr>
        <w:t>Neil</w:t>
      </w:r>
      <w:r w:rsidR="00DE5F42" w:rsidRPr="005C3748">
        <w:rPr>
          <w:rStyle w:val="FontStyle16"/>
          <w:sz w:val="28"/>
        </w:rPr>
        <w:t xml:space="preserve">, </w:t>
      </w:r>
      <w:r w:rsidR="00DE5F42" w:rsidRPr="005C3748">
        <w:rPr>
          <w:rStyle w:val="FontStyle16"/>
          <w:sz w:val="28"/>
          <w:lang w:val="en-US"/>
        </w:rPr>
        <w:t>Silberman</w:t>
      </w:r>
      <w:r w:rsidRPr="005C3748">
        <w:rPr>
          <w:rStyle w:val="FontStyle16"/>
          <w:sz w:val="28"/>
        </w:rPr>
        <w:t xml:space="preserve"> </w:t>
      </w:r>
      <w:r w:rsidR="00DE5F42" w:rsidRPr="005C3748">
        <w:rPr>
          <w:rStyle w:val="FontStyle16"/>
          <w:sz w:val="28"/>
        </w:rPr>
        <w:t>и показан на рис. Для сравнения, изотопный состав гидротерм и местной метеорной воды некоторых Новозеландских геотермальных систем показан на рис.</w:t>
      </w:r>
    </w:p>
    <w:p w:rsidR="005C3748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238.5pt">
            <v:imagedata r:id="rId6" o:title=""/>
          </v:shape>
        </w:pic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Разница изотопных составов между геотермальными минералами и флюидами известна, как фактор фракционирования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Минералы обычно имеют более тяжёлый изотопный состав</w:t>
      </w:r>
      <w:r w:rsidR="0024215E" w:rsidRPr="005C3748">
        <w:rPr>
          <w:rStyle w:val="FontStyle16"/>
          <w:sz w:val="28"/>
        </w:rPr>
        <w:t>,</w:t>
      </w:r>
      <w:r w:rsidRPr="005C3748">
        <w:rPr>
          <w:rStyle w:val="FontStyle16"/>
          <w:sz w:val="28"/>
        </w:rPr>
        <w:t xml:space="preserve"> чем равновесные с ними флюиды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и эта разница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получается большей с понижением температуры. Так,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например, при 300 С разница 5 О между кварцем и водой, Л О</w:t>
      </w:r>
      <w:r w:rsidRPr="005C3748">
        <w:rPr>
          <w:rStyle w:val="FontStyle12"/>
          <w:sz w:val="28"/>
          <w:vertAlign w:val="subscript"/>
        </w:rPr>
        <w:t>кв</w:t>
      </w:r>
      <w:r w:rsidR="0024215E" w:rsidRPr="005C3748">
        <w:rPr>
          <w:rStyle w:val="FontStyle12"/>
          <w:sz w:val="28"/>
          <w:vertAlign w:val="subscript"/>
        </w:rPr>
        <w:t xml:space="preserve"> </w:t>
      </w:r>
      <w:r w:rsidRPr="005C3748">
        <w:rPr>
          <w:rStyle w:val="FontStyle12"/>
          <w:sz w:val="28"/>
        </w:rPr>
        <w:t>-</w:t>
      </w:r>
      <w:r w:rsidR="0024215E" w:rsidRPr="005C3748">
        <w:rPr>
          <w:rStyle w:val="FontStyle12"/>
          <w:sz w:val="28"/>
        </w:rPr>
        <w:t xml:space="preserve"> </w:t>
      </w:r>
      <w:r w:rsidRPr="005C3748">
        <w:rPr>
          <w:rStyle w:val="FontStyle12"/>
          <w:sz w:val="28"/>
        </w:rPr>
        <w:t>Н</w:t>
      </w:r>
      <w:r w:rsidR="0024215E" w:rsidRPr="005C3748">
        <w:rPr>
          <w:rStyle w:val="FontStyle13"/>
          <w:sz w:val="28"/>
        </w:rPr>
        <w:t>2</w:t>
      </w:r>
      <w:r w:rsidRPr="005C3748">
        <w:rPr>
          <w:rStyle w:val="FontStyle12"/>
          <w:sz w:val="28"/>
        </w:rPr>
        <w:t xml:space="preserve">О </w:t>
      </w:r>
      <w:r w:rsidRPr="005C3748">
        <w:rPr>
          <w:rStyle w:val="FontStyle16"/>
          <w:sz w:val="28"/>
        </w:rPr>
        <w:t>составляет ~ 7%%</w:t>
      </w:r>
      <w:r w:rsidR="0024215E" w:rsidRPr="005C3748">
        <w:rPr>
          <w:rStyle w:val="FontStyle16"/>
          <w:sz w:val="28"/>
        </w:rPr>
        <w:t>,</w:t>
      </w:r>
      <w:r w:rsidRPr="005C3748">
        <w:rPr>
          <w:rStyle w:val="FontStyle16"/>
          <w:sz w:val="28"/>
        </w:rPr>
        <w:t xml:space="preserve"> тогда как при 200 С она равна 12%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При тех же температурах, факторы фракционирования между щелочным полевым шпатом и водой при 300</w:t>
      </w:r>
      <w:r w:rsidRPr="005C3748">
        <w:rPr>
          <w:rStyle w:val="FontStyle16"/>
          <w:sz w:val="28"/>
          <w:vertAlign w:val="superscript"/>
        </w:rPr>
        <w:t>0</w:t>
      </w:r>
      <w:r w:rsidRPr="005C3748">
        <w:rPr>
          <w:rStyle w:val="FontStyle16"/>
          <w:sz w:val="28"/>
        </w:rPr>
        <w:t>С и 200</w:t>
      </w:r>
      <w:r w:rsidRPr="005C3748">
        <w:rPr>
          <w:rStyle w:val="FontStyle16"/>
          <w:sz w:val="28"/>
          <w:vertAlign w:val="superscript"/>
        </w:rPr>
        <w:t>0</w:t>
      </w:r>
      <w:r w:rsidRPr="005C3748">
        <w:rPr>
          <w:rStyle w:val="FontStyle16"/>
          <w:sz w:val="28"/>
        </w:rPr>
        <w:t>С составляет 5 и 10%, соответственно.</w:t>
      </w:r>
    </w:p>
    <w:p w:rsidR="0024215E" w:rsidRPr="005C3748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6" type="#_x0000_t75" style="width:384pt;height:3in">
            <v:imagedata r:id="rId7" o:title=""/>
          </v:shape>
        </w:pict>
      </w:r>
    </w:p>
    <w:p w:rsidR="0024215E" w:rsidRPr="005C3748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Свежая вулканическая порода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обычно имеет значение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7-9</w:t>
      </w:r>
      <w:r w:rsidR="0024215E" w:rsidRPr="005C3748">
        <w:rPr>
          <w:rStyle w:val="FontStyle16"/>
          <w:sz w:val="28"/>
        </w:rPr>
        <w:t>%</w:t>
      </w:r>
      <w:r w:rsidRPr="005C3748">
        <w:rPr>
          <w:rStyle w:val="FontStyle16"/>
          <w:sz w:val="28"/>
        </w:rPr>
        <w:t>%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Если мы предположим, что порода будет иметь фактор фракционирования, аналогичный кварцу и щелочному полевому шпату, то мы можем рассчитать состав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первой метеорной воды, которая циркулировала по свежей породе. Используя 8</w:t>
      </w:r>
      <w:r w:rsidR="0024215E" w:rsidRPr="005C3748">
        <w:rPr>
          <w:rStyle w:val="FontStyle16"/>
          <w:sz w:val="28"/>
        </w:rPr>
        <w:t>%</w:t>
      </w:r>
      <w:r w:rsidRPr="005C3748">
        <w:rPr>
          <w:rStyle w:val="FontStyle16"/>
          <w:sz w:val="28"/>
        </w:rPr>
        <w:t>% для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породы и 6%% для А О</w:t>
      </w:r>
      <w:r w:rsidRPr="005C3748">
        <w:rPr>
          <w:rStyle w:val="FontStyle14"/>
          <w:sz w:val="28"/>
        </w:rPr>
        <w:t xml:space="preserve">порода-вода </w:t>
      </w:r>
      <w:r w:rsidRPr="005C3748">
        <w:rPr>
          <w:rStyle w:val="FontStyle16"/>
          <w:sz w:val="28"/>
        </w:rPr>
        <w:t>при 300 С, получаем, что первая вода, проходящая через породу при 300</w:t>
      </w:r>
      <w:r w:rsidRPr="005C3748">
        <w:rPr>
          <w:rStyle w:val="FontStyle16"/>
          <w:sz w:val="28"/>
          <w:vertAlign w:val="superscript"/>
        </w:rPr>
        <w:t>0</w:t>
      </w:r>
      <w:r w:rsidRPr="005C3748">
        <w:rPr>
          <w:rStyle w:val="FontStyle16"/>
          <w:sz w:val="28"/>
        </w:rPr>
        <w:t>С, должна иметь значения 5О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 2</w:t>
      </w:r>
      <w:r w:rsidR="0024215E" w:rsidRPr="005C3748">
        <w:rPr>
          <w:rStyle w:val="FontStyle16"/>
          <w:sz w:val="28"/>
        </w:rPr>
        <w:t>%</w:t>
      </w:r>
      <w:r w:rsidRPr="005C3748">
        <w:rPr>
          <w:rStyle w:val="FontStyle16"/>
          <w:sz w:val="28"/>
        </w:rPr>
        <w:t xml:space="preserve">%. Если это была метеорная вода из района Невады, то её первоначальное 5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должна была быть ~ - 12</w:t>
      </w:r>
      <w:r w:rsidR="0024215E" w:rsidRPr="005C3748">
        <w:rPr>
          <w:rStyle w:val="FontStyle16"/>
          <w:sz w:val="28"/>
        </w:rPr>
        <w:t>,</w:t>
      </w:r>
      <w:r w:rsidRPr="005C3748">
        <w:rPr>
          <w:rStyle w:val="FontStyle16"/>
          <w:sz w:val="28"/>
        </w:rPr>
        <w:t xml:space="preserve"> таким образом, она стала значительно тяжелее. Однако, при этом порода стала несколько легче, чтобы сохранить масс-баланс в системе. Если мы продолжим фильтровать воду через породу, то она будет непрерывно облегчаться, до тех пор, пока она не приобретёт состав местной метеорной воды плюс с поправкой на температурный фактор фракционирования. Путём количественного определения этого сдвига мы можем определить интегрированое отношение вода-порода посредством изотопического масс-баланса</w:t>
      </w:r>
      <w:r w:rsidR="0024215E" w:rsidRPr="005C3748">
        <w:rPr>
          <w:rStyle w:val="FontStyle16"/>
          <w:sz w:val="28"/>
        </w:rPr>
        <w:t>.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Рисунок показывает, что некоторые эпитермальные месторождения не имеют минералов со сдвигом в максимальном значении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Однако, наблюдался большой сдвиг в составе изотопов в породах округов Тонопах, Саннисайд, Богие Манхаттэн, свидетельствующий об относительно большом отношении вода-порода</w:t>
      </w:r>
      <w:r w:rsidR="0024215E" w:rsidRPr="005C3748">
        <w:rPr>
          <w:rStyle w:val="FontStyle16"/>
          <w:sz w:val="28"/>
        </w:rPr>
        <w:t>. Это также видно на рисунке</w:t>
      </w:r>
      <w:r w:rsidRPr="005C3748">
        <w:rPr>
          <w:rStyle w:val="FontStyle16"/>
          <w:sz w:val="28"/>
        </w:rPr>
        <w:t>, который показывает, что Вайракей сложен породами, изменёнными значительно больше, чем породы Бродлэндс или Вайотапу.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Рисунок показывает, что большинство низкосернистых геотермальных систем в мире имеют преимущественно циркуляцию метеорных вод. Наоборот магматические флюиды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сильно отличаются по изотопному составу от метеорных гидрогеологических систем. Это будет обсуждаться более детально при изучении минерализации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высокосернистых систем.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Если мы сможем изучить изотопы минералов и пород, то по ним можно говорить о миграции в региональном и локальном масштабах.</w:t>
      </w:r>
    </w:p>
    <w:p w:rsidR="0024215E" w:rsidRPr="005C3748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417pt;height:197.25pt">
            <v:imagedata r:id="rId8" o:title=""/>
          </v:shape>
        </w:pict>
      </w:r>
    </w:p>
    <w:p w:rsidR="005C3748" w:rsidRDefault="005C3748" w:rsidP="005C3748">
      <w:pPr>
        <w:pStyle w:val="Style5"/>
        <w:keepNext/>
        <w:spacing w:line="360" w:lineRule="auto"/>
        <w:ind w:firstLine="720"/>
        <w:jc w:val="both"/>
        <w:rPr>
          <w:rStyle w:val="FontStyle15"/>
          <w:b w:val="0"/>
          <w:sz w:val="28"/>
        </w:rPr>
      </w:pPr>
    </w:p>
    <w:p w:rsidR="00DE5F42" w:rsidRPr="005C3748" w:rsidRDefault="00DE5F42" w:rsidP="005C3748">
      <w:pPr>
        <w:pStyle w:val="Style5"/>
        <w:keepNext/>
        <w:spacing w:line="360" w:lineRule="auto"/>
        <w:ind w:firstLine="720"/>
        <w:jc w:val="center"/>
        <w:rPr>
          <w:rStyle w:val="FontStyle15"/>
          <w:sz w:val="28"/>
        </w:rPr>
      </w:pPr>
      <w:r w:rsidRPr="005C3748">
        <w:rPr>
          <w:rStyle w:val="FontStyle15"/>
          <w:sz w:val="28"/>
        </w:rPr>
        <w:t>Распределение изотопов и региональный поток ги</w:t>
      </w:r>
      <w:r w:rsidR="0024215E" w:rsidRPr="005C3748">
        <w:rPr>
          <w:rStyle w:val="FontStyle15"/>
          <w:sz w:val="28"/>
        </w:rPr>
        <w:t>дротерм в кальдерных структурах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  <w:r w:rsidRPr="005C3748">
        <w:rPr>
          <w:rStyle w:val="FontStyle16"/>
          <w:sz w:val="28"/>
          <w:lang w:val="en-US" w:eastAsia="en-US"/>
        </w:rPr>
        <w:t>Cris</w:t>
      </w:r>
      <w:r w:rsidRPr="005C3748">
        <w:rPr>
          <w:rStyle w:val="FontStyle16"/>
          <w:sz w:val="28"/>
          <w:lang w:eastAsia="en-US"/>
        </w:rPr>
        <w:t xml:space="preserve"> и </w:t>
      </w:r>
      <w:r w:rsidRPr="005C3748">
        <w:rPr>
          <w:rStyle w:val="FontStyle16"/>
          <w:sz w:val="28"/>
          <w:lang w:val="en-US" w:eastAsia="en-US"/>
        </w:rPr>
        <w:t>Taylor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проводили широкие изотопные исследования на площади 15000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км</w:t>
      </w:r>
      <w:r w:rsidRPr="005C3748">
        <w:rPr>
          <w:rStyle w:val="FontStyle16"/>
          <w:sz w:val="28"/>
          <w:vertAlign w:val="superscript"/>
          <w:lang w:eastAsia="en-US"/>
        </w:rPr>
        <w:t>2</w:t>
      </w:r>
      <w:r w:rsidRPr="005C3748">
        <w:rPr>
          <w:rStyle w:val="FontStyle16"/>
          <w:sz w:val="28"/>
          <w:lang w:eastAsia="en-US"/>
        </w:rPr>
        <w:t xml:space="preserve"> в окрестностях батолита Айдахо. Серии больших эпизональных плутонов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генерировали гидротермальные конвективные ячейки, которые вызывали широкую пропилитизацию и изотопные сдвиги. Одна часть изученного района показана на рис. 3.4 а; плотной штриховкой показан эоценовый плутон, крупные точки -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точки отбора проб, изолинии показывают 5</w:t>
      </w:r>
      <w:r w:rsidRPr="005C3748">
        <w:rPr>
          <w:rStyle w:val="FontStyle16"/>
          <w:sz w:val="28"/>
          <w:vertAlign w:val="superscript"/>
          <w:lang w:eastAsia="en-US"/>
        </w:rPr>
        <w:t>18</w:t>
      </w:r>
      <w:r w:rsidRPr="005C3748">
        <w:rPr>
          <w:rStyle w:val="FontStyle16"/>
          <w:sz w:val="28"/>
          <w:lang w:eastAsia="en-US"/>
        </w:rPr>
        <w:t>О. Изолинии &lt; 4</w:t>
      </w:r>
      <w:r w:rsidR="0024215E" w:rsidRPr="005C3748">
        <w:rPr>
          <w:rStyle w:val="FontStyle16"/>
          <w:sz w:val="28"/>
          <w:lang w:eastAsia="en-US"/>
        </w:rPr>
        <w:t>%</w:t>
      </w:r>
      <w:r w:rsidRPr="005C3748">
        <w:rPr>
          <w:rStyle w:val="FontStyle16"/>
          <w:sz w:val="28"/>
          <w:lang w:eastAsia="en-US"/>
        </w:rPr>
        <w:t>%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представляют кольцо, совпадающее с кольцевой зоной Шаутуз, граница кальдеры более 50 км в диаметре вокруг Гор Шаутуз.</w:t>
      </w:r>
    </w:p>
    <w:p w:rsidR="005C3748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8" type="#_x0000_t75" style="width:419.25pt;height:471.75pt">
            <v:imagedata r:id="rId9" o:title=""/>
          </v:shape>
        </w:pic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Рисунок б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показывает высокие отношения вода-порода, рассчитанные для этой проницаемой зоны кольцевых разломов; распределение изотопов на этой площади отражает наличие латерального потока метеорных гидротерм, длиной 25-50 км, который проникает на глубину 7 км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Эта гигантская метеорная конвективная ячейка сопоставима по размерам с ячейкой, существовавшей около Скаергардской интрузии.</w:t>
      </w:r>
    </w:p>
    <w:p w:rsidR="0024215E" w:rsidRPr="005C3748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Рисунок показывает 5 км ширины полосу, охватывающую изолинию +8 %% 518О, которая оконтуривает большинство эпитермальных и мезотермальных шахт благородных металлов в этом районе. Минерализация в этом случае не связана с районом наиболее низких 518О и фронтом гидротерм. Скорее всего этот район располагается вне кальдерно кольцевой зоны разломов, где имелся небольшой градиент в отношении вода / порода, который наилучшим образом способствовал минерализации.</w:t>
      </w:r>
    </w:p>
    <w:p w:rsidR="0024215E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Larsen и Taylor провели детальные кислородно-изотопные исследования на меньшей кальдере оз. Сити в западной части гор Сан Хуан, Колорадо. Рисунок 3.6 показывает границы кальдеры и карту изолиний 518О пород по 300 образцам в районе оз. Сити. Сильные отрицательные аномалии связаны с западной границей кальдеры; однако, это частично относится к тому факту, что западная граница эродирована на 1000 м глубже, чем восточная часть.</w:t>
      </w:r>
    </w:p>
    <w:p w:rsidR="005C3748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24215E" w:rsidRPr="005C3748" w:rsidRDefault="009801BC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szCs w:val="28"/>
          <w:lang w:eastAsia="en-US"/>
        </w:rPr>
      </w:pPr>
      <w:r>
        <w:rPr>
          <w:sz w:val="28"/>
        </w:rPr>
        <w:pict>
          <v:shape id="_x0000_i1029" type="#_x0000_t75" style="width:434.25pt;height:203.25pt">
            <v:imagedata r:id="rId10" o:title=""/>
          </v:shape>
        </w:pict>
      </w:r>
    </w:p>
    <w:p w:rsidR="0024215E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  <w:r>
        <w:rPr>
          <w:rStyle w:val="FontStyle16"/>
          <w:sz w:val="28"/>
          <w:lang w:eastAsia="en-US"/>
        </w:rPr>
        <w:br w:type="page"/>
      </w:r>
      <w:r w:rsidR="009801BC">
        <w:rPr>
          <w:sz w:val="28"/>
        </w:rPr>
        <w:pict>
          <v:shape id="_x0000_i1030" type="#_x0000_t75" style="width:401.25pt;height:3in">
            <v:imagedata r:id="rId11" o:title=""/>
          </v:shape>
        </w:pict>
      </w:r>
    </w:p>
    <w:p w:rsidR="0024215E" w:rsidRPr="005C3748" w:rsidRDefault="0024215E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  <w:lang w:val="en-US" w:eastAsia="en-US"/>
        </w:rPr>
        <w:t>Larsen</w:t>
      </w:r>
      <w:r w:rsidRPr="005C3748">
        <w:rPr>
          <w:rStyle w:val="FontStyle16"/>
          <w:sz w:val="28"/>
          <w:lang w:eastAsia="en-US"/>
        </w:rPr>
        <w:t xml:space="preserve"> и </w:t>
      </w:r>
      <w:r w:rsidRPr="005C3748">
        <w:rPr>
          <w:rStyle w:val="FontStyle16"/>
          <w:sz w:val="28"/>
          <w:lang w:val="en-US" w:eastAsia="en-US"/>
        </w:rPr>
        <w:t>Taylor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определили отношение вода/порода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для района кальдеры оз. Сити; они учитывают уровень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дифференциации в гидротермальной системе, заключённой в кальдере. На основании этой карты была получена модель потока гидротермальной системы. В кальдере поток гидротерм контролировали три главных типа проницаемых зон. Это - разломы и трещины, связанные с резургенцией, пористая мегабрекчия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и кальдерный кольцевой разлом. Циркуляция гидротерм возникла в результате внедрения центральной резургентной интрузии с контролем кольцевыми разломами фильтрации гидротерм в недра. Когда эти гидротермы пересекали проницаемые нижние свиты мегабрекчий</w:t>
      </w:r>
      <w:r w:rsidR="0024215E" w:rsidRPr="005C3748">
        <w:rPr>
          <w:rStyle w:val="FontStyle16"/>
          <w:sz w:val="28"/>
          <w:lang w:eastAsia="en-US"/>
        </w:rPr>
        <w:t xml:space="preserve">, </w:t>
      </w:r>
      <w:r w:rsidRPr="005C3748">
        <w:rPr>
          <w:rStyle w:val="FontStyle16"/>
          <w:sz w:val="28"/>
        </w:rPr>
        <w:t>она служила дреной потока, направленного в сторону центра резургенции. Вблизи резергентных интрузий поток гидротерм направлялся к поверхности до пересечения с поднятием, образованным разломами в мегабрекчиевых водоносных комплексах. Эти разные структуры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заполнялись кварцем, содержат сульфиды неблагородных металлов и имеют кварц-серицитовые зальбанды; на более высоких уровнях появляются аргиллиты. Однако, часть глубинных гидротерм должна была также разгружаться за пределами кальдеры, так как большая часть эпитермальной минерализации располагается за пределами кальдеры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Эти изотопные исследования гидротермальных систем связаны с кальдерами и изучение минерализации в них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показывает параметры и направление потоков гидротерм, развитых в эпитермальных условиях. Это не значит, что все эпитермальные системы связаны с кальдерами, геологическая структура которых относительно хорошо изучена. Потоки гидротерм в андезитовых вулканических центрах также контролируется геологическим строением и проницаемостью толщ, хотя вероятно на них оказывает большое влияние рельеф.</w:t>
      </w:r>
    </w:p>
    <w:p w:rsidR="005C3748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24215E" w:rsidRPr="005C3748" w:rsidRDefault="009801BC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>
        <w:rPr>
          <w:sz w:val="28"/>
        </w:rPr>
        <w:pict>
          <v:shape id="_x0000_i1031" type="#_x0000_t75" style="width:414pt;height:264pt">
            <v:imagedata r:id="rId12" o:title=""/>
          </v:shape>
        </w:pict>
      </w:r>
    </w:p>
    <w:p w:rsid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На рисунке приводится интересное сопоставление между кольцевой зоной Соутуз и Йеллоустонским вулканическим и гидротермальным районами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Отмечается распределение современных термопроявлений в Йеллоустоне, совпадающее с главными кольцевыми разломами района, аналогичными кольцевой зоне Соутуз и самым низким значениям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О. Если аналогия справедлива, то возможные районы минерализации в Йеллоустоне должны располагаться за пределами главной кольцевой структуры и поверхностных термопроявлений геотермальной системы.</w:t>
      </w:r>
    </w:p>
    <w:p w:rsidR="005C3748" w:rsidRDefault="005C3748" w:rsidP="005C3748">
      <w:pPr>
        <w:pStyle w:val="Style3"/>
        <w:keepNext/>
        <w:spacing w:line="360" w:lineRule="auto"/>
        <w:ind w:firstLine="720"/>
      </w:pPr>
      <w:r>
        <w:rPr>
          <w:rStyle w:val="FontStyle16"/>
          <w:sz w:val="28"/>
        </w:rPr>
        <w:br w:type="page"/>
      </w:r>
      <w:r w:rsidR="009801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65pt;margin-top:0;width:451.9pt;height:384.95pt;z-index:251655168;mso-wrap-edited:f;mso-wrap-distance-left:1.9pt;mso-wrap-distance-right:1.9pt;mso-wrap-distance-bottom:7.9pt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33" type="#_x0000_t75" style="width:452.25pt;height:384.75pt">
                        <v:imagedata r:id="rId13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5C3748" w:rsidRDefault="009801BC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val="en-US" w:eastAsia="en-US"/>
        </w:rPr>
      </w:pPr>
      <w:r>
        <w:pict>
          <v:shape id="_x0000_i1034" type="#_x0000_t75" style="width:251.25pt;height:219.75pt;mso-wrap-edited:f;mso-wrap-distance-left:0;mso-wrap-distance-right:0" wrapcoords="13373 0 13373 94 0 94 0 16052 4774 16052 4774 17610 0 17610 0 21600 21600 21600 21600 17610 21600 17610 21600 16052 21600 16052 21600 94 21600 94 21600 0 13373 0">
            <v:imagedata r:id="rId14" o:title="" bilevel="t"/>
          </v:shape>
        </w:pict>
      </w:r>
    </w:p>
    <w:p w:rsid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val="en-US" w:eastAsia="en-US"/>
        </w:rPr>
      </w:pP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  <w:r w:rsidRPr="005C3748">
        <w:rPr>
          <w:rStyle w:val="FontStyle16"/>
          <w:sz w:val="28"/>
          <w:lang w:val="en-US" w:eastAsia="en-US"/>
        </w:rPr>
        <w:t>diss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et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al</w:t>
      </w:r>
      <w:r w:rsidRPr="005C3748">
        <w:rPr>
          <w:rStyle w:val="FontStyle16"/>
          <w:sz w:val="28"/>
          <w:lang w:eastAsia="en-US"/>
        </w:rPr>
        <w:t>.,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недавно провели аналогичные исследования, включая и геофиические методы, золото-серебрянного горного округа Янки Форк в Горах реки Салмон в графстве Кастер штат Айдахо. Здесь они отмечают региональное снижение 5</w:t>
      </w:r>
      <w:r w:rsidRPr="005C3748">
        <w:rPr>
          <w:rStyle w:val="FontStyle16"/>
          <w:sz w:val="28"/>
          <w:vertAlign w:val="superscript"/>
          <w:lang w:eastAsia="en-US"/>
        </w:rPr>
        <w:t>18</w:t>
      </w:r>
      <w:r w:rsidRPr="005C3748">
        <w:rPr>
          <w:rStyle w:val="FontStyle16"/>
          <w:sz w:val="28"/>
          <w:lang w:eastAsia="en-US"/>
        </w:rPr>
        <w:t>О в пробах пород, которые они связывают с развитием гидротермальной системы над большой интрузией</w:t>
      </w:r>
      <w:r w:rsidR="0024215E" w:rsidRPr="005C3748">
        <w:rPr>
          <w:rStyle w:val="FontStyle16"/>
          <w:sz w:val="28"/>
          <w:lang w:eastAsia="en-US"/>
        </w:rPr>
        <w:t>.</w:t>
      </w:r>
    </w:p>
    <w:p w:rsidR="005C3748" w:rsidRPr="005C3748" w:rsidRDefault="005C3748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5" type="#_x0000_t75" style="width:205.5pt;height:219pt">
            <v:imagedata r:id="rId15" o:title=""/>
          </v:shape>
        </w:pic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 xml:space="preserve">Однако, схема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О, разработанная здесь, несколько отличается от схемы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О кальдеры Соуттуз, где кольцевая зона имеет наименьшие значения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О в отличие от всего района пониженных значений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кальдеры Янки Форк. Эти типы несовместимостей необходимо изучать в дальнейшем. Золото-серебрянная эпитермальная минерализация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стремится сконцентрироваться вне зоны пониженных значений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 xml:space="preserve">и ближе к району резких перепадов в 5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О. Они также отмечают тесную пространственную связь между низкими 5 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и магнититами. Магнитная чувствительность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и остаточная намагниченность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в большинстве образцов уменьшается экспоненциально с уменьшением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О, таким образом, свежие породы имеют значительно большие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 xml:space="preserve">О, К и </w:t>
      </w:r>
      <w:r w:rsidRPr="005C3748">
        <w:rPr>
          <w:rStyle w:val="FontStyle16"/>
          <w:sz w:val="28"/>
          <w:lang w:val="en-US"/>
        </w:rPr>
        <w:t>J</w:t>
      </w:r>
      <w:r w:rsidRPr="005C3748">
        <w:rPr>
          <w:rStyle w:val="FontStyle16"/>
          <w:sz w:val="28"/>
        </w:rPr>
        <w:t>, чем гидротермально изменённые эквиваленты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Средняя плотность пород также увеличивается с уменьшением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Эти факты объясняют низкую аэромагнитную интенсивность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и положительные аномалии Буге, связанные с гидротермально изменёнными и минерализованными зонами округа Янки Форк. Аналогичные геофизические аномалии отмечались для других районов эпитермальной минерализации и будут обсуждаться более детально в дальнейшем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Региональная картина распространения 5</w:t>
      </w:r>
      <w:r w:rsidRPr="005C3748">
        <w:rPr>
          <w:rStyle w:val="FontStyle16"/>
          <w:sz w:val="28"/>
          <w:vertAlign w:val="superscript"/>
        </w:rPr>
        <w:t>18</w:t>
      </w:r>
      <w:r w:rsidRPr="005C3748">
        <w:rPr>
          <w:rStyle w:val="FontStyle16"/>
          <w:sz w:val="28"/>
        </w:rPr>
        <w:t>О в породах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также отмечалась в окрестностях месторождений Куроко и районов эпитермальной минерализации в Японии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Она отражает распространение циркуляции гидротерм вокруг интрузивных тел и может быть подтверждена разведочными методами.</w:t>
      </w:r>
    </w:p>
    <w:p w:rsidR="00DE5F42" w:rsidRPr="005C3748" w:rsidRDefault="00DE5F42" w:rsidP="005C3748">
      <w:pPr>
        <w:pStyle w:val="Style7"/>
        <w:keepNext/>
        <w:spacing w:line="360" w:lineRule="auto"/>
        <w:ind w:firstLine="720"/>
        <w:jc w:val="both"/>
        <w:rPr>
          <w:sz w:val="28"/>
          <w:szCs w:val="20"/>
        </w:rPr>
      </w:pPr>
    </w:p>
    <w:p w:rsidR="00DE5F42" w:rsidRPr="005C3748" w:rsidRDefault="00DE5F42" w:rsidP="005C3748">
      <w:pPr>
        <w:pStyle w:val="Style7"/>
        <w:keepNext/>
        <w:spacing w:line="360" w:lineRule="auto"/>
        <w:ind w:firstLine="720"/>
        <w:jc w:val="center"/>
        <w:rPr>
          <w:rStyle w:val="FontStyle15"/>
          <w:sz w:val="28"/>
        </w:rPr>
      </w:pPr>
      <w:r w:rsidRPr="005C3748">
        <w:rPr>
          <w:rStyle w:val="FontStyle15"/>
          <w:sz w:val="28"/>
        </w:rPr>
        <w:t>Структурный контроль гидротермальных пото</w:t>
      </w:r>
      <w:r w:rsidR="003C32D7" w:rsidRPr="005C3748">
        <w:rPr>
          <w:rStyle w:val="FontStyle15"/>
          <w:sz w:val="28"/>
        </w:rPr>
        <w:t>ков и минерализация в кальдерах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Эпитермальные месторождения в кальдерах, связанные с кольцевыми, радиальными структурами и поперечными разломами, хорошо отслежены в нескольких горнодобывающих округах, таких как Сан Хуан и на СВ Нью Мехико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Связь эпитермальной минерализации со структурой кальдеры часто наблюдается за её пределами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Однако, некоторые эпитермальные месторождения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располагаются на границах кальдеры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или даже внутри них, например, активные системы в Мокаи в Н.Зеландии и несколько молодых кальдер в западных штатах США: Лонг Веллис в Калифорнии; Веллес в Нью Мехико, Йеллоустон в штате Вайоминг. Эти места в структуре отдельного вулканического центра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являются наиболее важным контролирующим фактором в размещении источника тепла и очага разгрузки гидротерм. Нельзя установить первичный структурный контроль потока гидротерм без исследования нового района.</w:t>
      </w:r>
    </w:p>
    <w:p w:rsidR="00DE5F42" w:rsidRPr="005C3748" w:rsidRDefault="00DE5F42" w:rsidP="005C3748">
      <w:pPr>
        <w:pStyle w:val="Style4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  <w:lang w:val="en-US" w:eastAsia="en-US"/>
        </w:rPr>
        <w:t>Lipman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et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al</w:t>
      </w:r>
      <w:r w:rsidRPr="005C3748">
        <w:rPr>
          <w:rStyle w:val="FontStyle16"/>
          <w:sz w:val="28"/>
          <w:lang w:eastAsia="en-US"/>
        </w:rPr>
        <w:t>.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 xml:space="preserve">и </w:t>
      </w:r>
      <w:r w:rsidRPr="005C3748">
        <w:rPr>
          <w:rStyle w:val="FontStyle16"/>
          <w:sz w:val="28"/>
          <w:lang w:val="en-US" w:eastAsia="en-US"/>
        </w:rPr>
        <w:t>Silberman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 xml:space="preserve">показали, что минерализация в Сан Хуан и других местах также происходила спустя 1-2 млн. лет после кальдерного вулканизма. Они пришли к выводу, что образование кальдеры только служило структурной подготовкой для возникновения минерализации, хотя </w:t>
      </w:r>
      <w:r w:rsidRPr="005C3748">
        <w:rPr>
          <w:rStyle w:val="FontStyle16"/>
          <w:sz w:val="28"/>
          <w:lang w:val="en-US" w:eastAsia="en-US"/>
        </w:rPr>
        <w:t>McKee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указывает на отсутствие корреляции между кальдерной структурой и эпитермальной минерализацией в Бэзин Рэндж в Неваде</w:t>
      </w:r>
      <w:r w:rsidR="0024215E" w:rsidRPr="005C3748">
        <w:rPr>
          <w:rStyle w:val="FontStyle16"/>
          <w:sz w:val="28"/>
        </w:rPr>
        <w:t>.</w:t>
      </w: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  <w:lang w:eastAsia="en-US"/>
        </w:rPr>
      </w:pPr>
      <w:r w:rsidRPr="005C3748">
        <w:rPr>
          <w:rStyle w:val="FontStyle16"/>
          <w:sz w:val="28"/>
          <w:lang w:val="en-US" w:eastAsia="en-US"/>
        </w:rPr>
        <w:t>Slaks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предполагал, что вся минерализация восточной и северной секторов кальдеры оз. Сити возникла после возникновения кальдеры</w:t>
      </w:r>
      <w:r w:rsidR="0024215E" w:rsidRPr="005C3748">
        <w:rPr>
          <w:rStyle w:val="FontStyle16"/>
          <w:sz w:val="28"/>
          <w:lang w:eastAsia="en-US"/>
        </w:rPr>
        <w:t>.</w:t>
      </w:r>
      <w:r w:rsidRPr="005C3748">
        <w:rPr>
          <w:rStyle w:val="FontStyle16"/>
          <w:sz w:val="28"/>
          <w:lang w:eastAsia="en-US"/>
        </w:rPr>
        <w:t xml:space="preserve"> Таким образом, периферийная часть кальдерной структуры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 xml:space="preserve">связана с разломами, относящимся к кальдерной структуре; барит благородно-металлические жилы на востоке, приурочены к радиальным разломам. Однако, </w:t>
      </w:r>
      <w:r w:rsidRPr="005C3748">
        <w:rPr>
          <w:rStyle w:val="FontStyle16"/>
          <w:sz w:val="28"/>
          <w:lang w:val="en-US" w:eastAsia="en-US"/>
        </w:rPr>
        <w:t>Hom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et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al</w:t>
      </w:r>
      <w:r w:rsidRPr="005C3748">
        <w:rPr>
          <w:rStyle w:val="FontStyle16"/>
          <w:sz w:val="28"/>
          <w:lang w:eastAsia="en-US"/>
        </w:rPr>
        <w:t>.,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показали, что минерализация жилы Голден Флик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располагается в до озёрном кварцевом латите. Он коррелируется с вулканами более крупной кальдеры Ункомрагре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и относительно более древней, чем воздымание кальдеры оз. Сити</w:t>
      </w:r>
      <w:r w:rsidR="0024215E" w:rsidRPr="005C3748">
        <w:rPr>
          <w:rStyle w:val="FontStyle16"/>
          <w:sz w:val="28"/>
          <w:lang w:eastAsia="en-US"/>
        </w:rPr>
        <w:t>.</w:t>
      </w:r>
      <w:r w:rsidRPr="005C3748">
        <w:rPr>
          <w:rStyle w:val="FontStyle16"/>
          <w:sz w:val="28"/>
          <w:lang w:eastAsia="en-US"/>
        </w:rPr>
        <w:t xml:space="preserve"> Уран - свинцовые изохроны</w:t>
      </w:r>
      <w:r w:rsidR="0024215E"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eastAsia="en-US"/>
        </w:rPr>
        <w:t>подтверждают, что минерализация, связанная со стадиями активности кальдеры Ункомпагре располагается фактически внутри кальдеры</w:t>
      </w:r>
      <w:r w:rsidR="0024215E" w:rsidRPr="005C3748">
        <w:rPr>
          <w:rStyle w:val="FontStyle16"/>
          <w:sz w:val="28"/>
          <w:lang w:eastAsia="en-US"/>
        </w:rPr>
        <w:t>.</w:t>
      </w:r>
      <w:r w:rsidRPr="005C3748">
        <w:rPr>
          <w:rStyle w:val="FontStyle16"/>
          <w:sz w:val="28"/>
          <w:lang w:eastAsia="en-US"/>
        </w:rPr>
        <w:t xml:space="preserve"> Структуры Голден Кварц и Голден Вондер</w:t>
      </w:r>
      <w:r w:rsidR="0024215E" w:rsidRPr="005C3748">
        <w:rPr>
          <w:rStyle w:val="FontStyle16"/>
          <w:sz w:val="28"/>
          <w:lang w:eastAsia="en-US"/>
        </w:rPr>
        <w:t>,</w:t>
      </w:r>
      <w:r w:rsidRPr="005C3748">
        <w:rPr>
          <w:rStyle w:val="FontStyle16"/>
          <w:sz w:val="28"/>
          <w:lang w:eastAsia="en-US"/>
        </w:rPr>
        <w:t xml:space="preserve"> вероятно того же возраста, что и Голден Флик</w:t>
      </w:r>
      <w:r w:rsidR="0024215E" w:rsidRPr="005C3748">
        <w:rPr>
          <w:rStyle w:val="FontStyle16"/>
          <w:sz w:val="28"/>
          <w:lang w:eastAsia="en-US"/>
        </w:rPr>
        <w:t>;</w:t>
      </w:r>
      <w:r w:rsidRPr="005C3748">
        <w:rPr>
          <w:rStyle w:val="FontStyle16"/>
          <w:sz w:val="28"/>
          <w:lang w:eastAsia="en-US"/>
        </w:rPr>
        <w:t xml:space="preserve"> однако, определённые различия в изотопном свинце в рудах этих жил показывают, что образовавшие их гидротермальные системы действовали не зависимо и без значительного взаимодействия</w:t>
      </w:r>
      <w:r w:rsidR="0024215E" w:rsidRPr="005C3748">
        <w:rPr>
          <w:rStyle w:val="FontStyle16"/>
          <w:sz w:val="28"/>
          <w:lang w:eastAsia="en-US"/>
        </w:rPr>
        <w:t>.</w:t>
      </w:r>
      <w:r w:rsidRPr="005C3748">
        <w:rPr>
          <w:rStyle w:val="FontStyle16"/>
          <w:sz w:val="28"/>
          <w:lang w:eastAsia="en-US"/>
        </w:rPr>
        <w:t xml:space="preserve"> Соответственно, радиогенные первоначальные отношения свинца в рудах из жилы Голден Флин показывают, что значительное содержание обычного свинца и, вероятно, других металлов, происходили из верхне коровых До Сш пород за счёт глубинной циркуляции гидротерм</w:t>
      </w:r>
      <w:r w:rsidR="0024215E" w:rsidRPr="005C3748">
        <w:rPr>
          <w:rStyle w:val="FontStyle16"/>
          <w:sz w:val="28"/>
          <w:lang w:eastAsia="en-US"/>
        </w:rPr>
        <w:t>.</w:t>
      </w:r>
      <w:r w:rsidRPr="005C3748">
        <w:rPr>
          <w:rStyle w:val="FontStyle16"/>
          <w:sz w:val="28"/>
          <w:lang w:eastAsia="en-US"/>
        </w:rPr>
        <w:t xml:space="preserve"> Это совпадает с выводом, полученным для округа Крид </w:t>
      </w:r>
      <w:r w:rsidRPr="005C3748">
        <w:rPr>
          <w:rStyle w:val="FontStyle16"/>
          <w:sz w:val="28"/>
          <w:lang w:val="en-US" w:eastAsia="en-US"/>
        </w:rPr>
        <w:t>Doe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et</w:t>
      </w:r>
      <w:r w:rsidRPr="005C3748">
        <w:rPr>
          <w:rStyle w:val="FontStyle16"/>
          <w:sz w:val="28"/>
          <w:lang w:eastAsia="en-US"/>
        </w:rPr>
        <w:t xml:space="preserve"> </w:t>
      </w:r>
      <w:r w:rsidRPr="005C3748">
        <w:rPr>
          <w:rStyle w:val="FontStyle16"/>
          <w:sz w:val="28"/>
          <w:lang w:val="en-US" w:eastAsia="en-US"/>
        </w:rPr>
        <w:t>al</w:t>
      </w:r>
      <w:r w:rsidR="0024215E" w:rsidRPr="005C3748">
        <w:rPr>
          <w:rStyle w:val="FontStyle16"/>
          <w:sz w:val="28"/>
          <w:lang w:eastAsia="en-US"/>
        </w:rPr>
        <w:t>.</w:t>
      </w:r>
    </w:p>
    <w:p w:rsidR="00DE5F42" w:rsidRPr="005C3748" w:rsidRDefault="005C3748" w:rsidP="005C3748">
      <w:pPr>
        <w:pStyle w:val="Style3"/>
        <w:keepNext/>
        <w:spacing w:line="360" w:lineRule="auto"/>
        <w:ind w:firstLine="720"/>
        <w:rPr>
          <w:sz w:val="28"/>
          <w:szCs w:val="2"/>
        </w:rPr>
      </w:pPr>
      <w:r>
        <w:rPr>
          <w:rStyle w:val="FontStyle16"/>
          <w:sz w:val="28"/>
          <w:lang w:eastAsia="en-US"/>
        </w:rPr>
        <w:br w:type="page"/>
      </w:r>
      <w:r w:rsidR="009801BC">
        <w:rPr>
          <w:noProof/>
        </w:rPr>
        <w:pict>
          <v:shape id="_x0000_s1027" type="#_x0000_t202" style="position:absolute;left:0;text-align:left;margin-left:0;margin-top:0;width:469.2pt;height:410.9pt;z-index:251656192;mso-wrap-edited:f;mso-wrap-distance-left:7in;mso-wrap-distance-right:7in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37" type="#_x0000_t75" style="width:469.5pt;height:411pt">
                        <v:imagedata r:id="rId1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9801BC">
        <w:rPr>
          <w:noProof/>
        </w:rPr>
        <w:pict>
          <v:shape id="_x0000_s1028" type="#_x0000_t202" style="position:absolute;left:0;text-align:left;margin-left:0;margin-top:414.95pt;width:456.95pt;height:309.35pt;z-index:251657216;mso-wrap-edited:f;mso-wrap-distance-left:7in;mso-wrap-distance-right:7in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39" type="#_x0000_t75" style="width:456.75pt;height:309pt">
                        <v:imagedata r:id="rId1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DE5F42" w:rsidRPr="005C3748" w:rsidRDefault="009801BC" w:rsidP="005C3748">
      <w:pPr>
        <w:keepNext/>
        <w:spacing w:line="360" w:lineRule="auto"/>
        <w:ind w:firstLine="720"/>
        <w:jc w:val="both"/>
        <w:rPr>
          <w:sz w:val="28"/>
          <w:szCs w:val="2"/>
        </w:rPr>
      </w:pPr>
      <w:r>
        <w:rPr>
          <w:noProof/>
        </w:rPr>
        <w:pict>
          <v:shape id="_x0000_s1029" type="#_x0000_t202" style="position:absolute;left:0;text-align:left;margin-left:0;margin-top:0;width:470.15pt;height:361.45pt;z-index:251658240;mso-wrap-edited:f;mso-wrap-distance-left:7in;mso-wrap-distance-right:7in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41" type="#_x0000_t75" style="width:470.25pt;height:361.5pt">
                        <v:imagedata r:id="rId1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30" type="#_x0000_t202" style="position:absolute;left:0;text-align:left;margin-left:4.3pt;margin-top:372pt;width:471.4pt;height:300.95pt;z-index:251659264;mso-wrap-edited:f;mso-wrap-distance-left:7in;mso-wrap-distance-right:7in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43" type="#_x0000_t75" style="width:471pt;height:300.75pt">
                        <v:imagedata r:id="rId1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DE5F42" w:rsidRPr="005C3748" w:rsidRDefault="009801BC" w:rsidP="005C3748">
      <w:pPr>
        <w:keepNext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44" type="#_x0000_t75" style="width:463.5pt;height:341.25pt">
            <v:imagedata r:id="rId20" o:title=""/>
          </v:shape>
        </w:pict>
      </w:r>
    </w:p>
    <w:p w:rsidR="00DE5F42" w:rsidRPr="005C3748" w:rsidRDefault="00DE5F42" w:rsidP="005C3748">
      <w:pPr>
        <w:pStyle w:val="Style2"/>
        <w:keepNext/>
        <w:spacing w:line="360" w:lineRule="auto"/>
        <w:ind w:firstLine="720"/>
        <w:jc w:val="both"/>
        <w:rPr>
          <w:sz w:val="28"/>
          <w:szCs w:val="20"/>
        </w:rPr>
      </w:pPr>
    </w:p>
    <w:p w:rsidR="00DE5F42" w:rsidRPr="005C3748" w:rsidRDefault="00DE5F42" w:rsidP="005C3748">
      <w:pPr>
        <w:pStyle w:val="Style2"/>
        <w:keepNext/>
        <w:spacing w:line="360" w:lineRule="auto"/>
        <w:ind w:firstLine="720"/>
        <w:jc w:val="center"/>
        <w:rPr>
          <w:rStyle w:val="FontStyle15"/>
          <w:sz w:val="28"/>
        </w:rPr>
      </w:pPr>
      <w:r w:rsidRPr="005C3748">
        <w:rPr>
          <w:rStyle w:val="FontStyle15"/>
          <w:sz w:val="28"/>
        </w:rPr>
        <w:t>Распределение эпитермальных систем в андезитовых</w:t>
      </w:r>
      <w:r w:rsidR="003C32D7" w:rsidRPr="005C3748">
        <w:rPr>
          <w:rStyle w:val="FontStyle15"/>
          <w:sz w:val="28"/>
        </w:rPr>
        <w:t xml:space="preserve"> структурах</w:t>
      </w: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sz w:val="28"/>
          <w:szCs w:val="20"/>
        </w:rPr>
      </w:pPr>
    </w:p>
    <w:p w:rsidR="00DE5F42" w:rsidRPr="005C3748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>Хотя близповерхностная структура и местные гидравлические градиенты играют большую роль в локализации очагов разгрузки эпитермальных систем, очевидно, что глубинная часть конвективной системы сосредоточена вокруг больших интрузий</w:t>
      </w:r>
      <w:r w:rsidR="0024215E" w:rsidRPr="005C3748">
        <w:rPr>
          <w:rStyle w:val="FontStyle16"/>
          <w:sz w:val="28"/>
        </w:rPr>
        <w:t>,</w:t>
      </w:r>
      <w:r w:rsidRPr="005C3748">
        <w:rPr>
          <w:rStyle w:val="FontStyle16"/>
          <w:sz w:val="28"/>
        </w:rPr>
        <w:t xml:space="preserve"> которая связана с кальдерным опусканием. Это также может быть применимо к верхним 1-2 км андезитовых вулканических центров. Однако, заметные региональные структуры, стратиграфические особенности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и, в некоторой степени, рельеф могут изменить распределение разгрузки гидротерм в андезитовых структурах.</w:t>
      </w:r>
    </w:p>
    <w:p w:rsidR="00DE5F42" w:rsidRDefault="00DE5F42" w:rsidP="005C3748">
      <w:pPr>
        <w:pStyle w:val="Style3"/>
        <w:keepNext/>
        <w:spacing w:line="360" w:lineRule="auto"/>
        <w:ind w:firstLine="720"/>
        <w:rPr>
          <w:rStyle w:val="FontStyle16"/>
          <w:sz w:val="28"/>
        </w:rPr>
      </w:pPr>
      <w:r w:rsidRPr="005C3748">
        <w:rPr>
          <w:rStyle w:val="FontStyle16"/>
          <w:sz w:val="28"/>
        </w:rPr>
        <w:t xml:space="preserve">Южная часть о. Кюсю является основным эпитермальным районом недавней активности андезитовых вулканов. </w:t>
      </w:r>
      <w:r w:rsidRPr="005C3748">
        <w:rPr>
          <w:rStyle w:val="FontStyle16"/>
          <w:sz w:val="28"/>
          <w:lang w:val="en-US"/>
        </w:rPr>
        <w:t>Kubota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составил гравитационную карту района</w:t>
      </w:r>
      <w:r w:rsidR="0024215E" w:rsidRPr="005C3748">
        <w:rPr>
          <w:rStyle w:val="FontStyle16"/>
          <w:sz w:val="28"/>
        </w:rPr>
        <w:t>,</w:t>
      </w:r>
      <w:r w:rsidRPr="005C3748">
        <w:rPr>
          <w:rStyle w:val="FontStyle16"/>
          <w:sz w:val="28"/>
        </w:rPr>
        <w:t xml:space="preserve"> показывающую несколько кальдер, связанных с андезитовыми структурами в в граувакковом фундаменте Симанто. Большинство этих систем обрушения не содержат эпитермальных месторождений; оказалось, что минерализация связана с районами с поднятым фундаментом</w:t>
      </w:r>
      <w:r w:rsidR="0024215E" w:rsidRPr="005C3748">
        <w:rPr>
          <w:rStyle w:val="FontStyle16"/>
          <w:sz w:val="28"/>
        </w:rPr>
        <w:t>.</w:t>
      </w:r>
      <w:r w:rsidRPr="005C3748">
        <w:rPr>
          <w:rStyle w:val="FontStyle16"/>
          <w:sz w:val="28"/>
        </w:rPr>
        <w:t xml:space="preserve"> Это, несмотря на то, что несколько активных геотермальных систем связывается с рядом расположенной современной внутри кальдерной активностью андезитовых стратовулканов. Следовательно, хотя, по-видимому, имеется глубокая циркуляция метеорных флюидов, связанных с магматическим источником тепла, предпочтительная разгрузка</w:t>
      </w:r>
      <w:r w:rsidR="0024215E" w:rsidRPr="005C3748">
        <w:rPr>
          <w:rStyle w:val="FontStyle16"/>
          <w:sz w:val="28"/>
        </w:rPr>
        <w:t xml:space="preserve"> </w:t>
      </w:r>
      <w:r w:rsidRPr="005C3748">
        <w:rPr>
          <w:rStyle w:val="FontStyle16"/>
          <w:sz w:val="28"/>
        </w:rPr>
        <w:t>происходит по второстепенным структурам, а не по главному кольцевому разлому. Однако, необходимо также отметить, что некоторые более молодые кальдеры, расположенные по восточной границе, моложе минерализации. Кажется, что большинство эпитермальной минерализации южного Кюсю, связаны с дугой неогенового андезитового вулканизма</w:t>
      </w:r>
      <w:r w:rsidR="0024215E" w:rsidRPr="005C3748">
        <w:rPr>
          <w:rStyle w:val="FontStyle16"/>
          <w:sz w:val="28"/>
        </w:rPr>
        <w:t>.</w:t>
      </w:r>
    </w:p>
    <w:p w:rsidR="0024215E" w:rsidRPr="005C3748" w:rsidRDefault="009801BC" w:rsidP="005C3748">
      <w:pPr>
        <w:keepNext/>
        <w:spacing w:line="360" w:lineRule="auto"/>
        <w:ind w:firstLine="720"/>
        <w:jc w:val="both"/>
        <w:rPr>
          <w:sz w:val="28"/>
          <w:szCs w:val="2"/>
        </w:rPr>
      </w:pPr>
      <w:r>
        <w:rPr>
          <w:noProof/>
        </w:rPr>
        <w:pict>
          <v:shape id="_x0000_s1031" type="#_x0000_t202" style="position:absolute;left:0;text-align:left;margin-left:0;margin-top:0;width:460.1pt;height:367.7pt;z-index:251660288;mso-wrap-edited:f;mso-wrap-distance-left:7in;mso-wrap-distance-right:7in;mso-position-horizontal-relative:margin" filled="f" stroked="f">
            <v:textbox inset="0,0,0,0">
              <w:txbxContent>
                <w:p w:rsidR="00DE5F42" w:rsidRDefault="009801BC">
                  <w:pPr>
                    <w:widowControl/>
                  </w:pPr>
                  <w:r>
                    <w:pict>
                      <v:shape id="_x0000_i1046" type="#_x0000_t75" style="width:459.75pt;height:367.5pt">
                        <v:imagedata r:id="rId2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bookmarkStart w:id="1" w:name="_GoBack"/>
      <w:bookmarkEnd w:id="1"/>
    </w:p>
    <w:sectPr w:rsidR="0024215E" w:rsidRPr="005C3748" w:rsidSect="005C3748">
      <w:pgSz w:w="11905" w:h="16837" w:code="9"/>
      <w:pgMar w:top="1134" w:right="851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93" w:rsidRDefault="00287593">
      <w:r>
        <w:separator/>
      </w:r>
    </w:p>
  </w:endnote>
  <w:endnote w:type="continuationSeparator" w:id="0">
    <w:p w:rsidR="00287593" w:rsidRDefault="0028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93" w:rsidRDefault="00287593">
      <w:r>
        <w:separator/>
      </w:r>
    </w:p>
  </w:footnote>
  <w:footnote w:type="continuationSeparator" w:id="0">
    <w:p w:rsidR="00287593" w:rsidRDefault="0028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224"/>
    <w:rsid w:val="0024215E"/>
    <w:rsid w:val="00287593"/>
    <w:rsid w:val="00381224"/>
    <w:rsid w:val="0038687A"/>
    <w:rsid w:val="003C32D7"/>
    <w:rsid w:val="004875D6"/>
    <w:rsid w:val="0056413B"/>
    <w:rsid w:val="00572DD2"/>
    <w:rsid w:val="005C3748"/>
    <w:rsid w:val="009801BC"/>
    <w:rsid w:val="00D543B6"/>
    <w:rsid w:val="00DE5F42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9509CAA9-3B97-43B2-A39A-BBCE3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65" w:lineRule="exact"/>
      <w:ind w:firstLine="240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28" w:lineRule="exact"/>
      <w:ind w:firstLine="850"/>
      <w:jc w:val="both"/>
    </w:pPr>
  </w:style>
  <w:style w:type="paragraph" w:customStyle="1" w:styleId="Style4">
    <w:name w:val="Style4"/>
    <w:basedOn w:val="a"/>
    <w:pPr>
      <w:spacing w:line="230" w:lineRule="exact"/>
      <w:jc w:val="both"/>
    </w:pPr>
  </w:style>
  <w:style w:type="paragraph" w:customStyle="1" w:styleId="Style5">
    <w:name w:val="Style5"/>
    <w:basedOn w:val="a"/>
    <w:pPr>
      <w:spacing w:line="322" w:lineRule="exact"/>
      <w:ind w:hanging="1090"/>
    </w:p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322" w:lineRule="exact"/>
      <w:ind w:hanging="1752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Эпитермальная золотая минерализация</vt:lpstr>
    </vt:vector>
  </TitlesOfParts>
  <Company/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Эпитермальная золотая минерализация</dc:title>
  <dc:subject/>
  <dc:creator>Евгений</dc:creator>
  <cp:keywords/>
  <dc:description/>
  <cp:lastModifiedBy>admin</cp:lastModifiedBy>
  <cp:revision>2</cp:revision>
  <dcterms:created xsi:type="dcterms:W3CDTF">2014-03-13T20:35:00Z</dcterms:created>
  <dcterms:modified xsi:type="dcterms:W3CDTF">2014-03-13T20:35:00Z</dcterms:modified>
</cp:coreProperties>
</file>