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AD" w:rsidRPr="00F0599F" w:rsidRDefault="005D6DAD" w:rsidP="005D6DAD">
      <w:pPr>
        <w:spacing w:before="120"/>
        <w:jc w:val="center"/>
        <w:rPr>
          <w:b/>
          <w:bCs/>
          <w:sz w:val="32"/>
          <w:szCs w:val="32"/>
        </w:rPr>
      </w:pPr>
      <w:r w:rsidRPr="00F0599F">
        <w:rPr>
          <w:b/>
          <w:bCs/>
          <w:sz w:val="32"/>
          <w:szCs w:val="32"/>
        </w:rPr>
        <w:t>Константы скорости реакции бензофеноноксида со спиртами</w:t>
      </w:r>
    </w:p>
    <w:p w:rsidR="005D6DAD" w:rsidRPr="00F0599F" w:rsidRDefault="005D6DAD" w:rsidP="005D6DAD">
      <w:pPr>
        <w:spacing w:before="120"/>
        <w:jc w:val="center"/>
        <w:rPr>
          <w:sz w:val="28"/>
          <w:szCs w:val="28"/>
        </w:rPr>
      </w:pPr>
      <w:r w:rsidRPr="00F0599F">
        <w:rPr>
          <w:sz w:val="28"/>
          <w:szCs w:val="28"/>
        </w:rPr>
        <w:t xml:space="preserve">Зиганшина С.Х., Хурсан С.Л., Назаров А.М., Калиниченко И.А.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Методом импульсного фотолиза и кинетической спектрофотометрии исследованы кинетические закономерности реакции бензофеноноксида (БФО) с рядом спиртов (метанол, этанол, изо-пропанол, н-бутанол, изо-бутанол, изо-пентанол, циклогексанол, ментол, трифенилметанол, фенилметанол, адамантанол и вода) в растворе ацетонитрила и бензола.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БФО получали импульсным фотолизом растворов дифенилдиазометана, насыщенных кислородом воздуха [1]: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9"/>
        <w:gridCol w:w="1377"/>
        <w:gridCol w:w="2997"/>
        <w:gridCol w:w="1535"/>
      </w:tblGrid>
      <w:tr w:rsidR="005D6DAD" w:rsidRPr="00E435B1" w:rsidTr="00946DB5">
        <w:trPr>
          <w:tblCellSpacing w:w="0" w:type="dxa"/>
          <w:jc w:val="center"/>
        </w:trPr>
        <w:tc>
          <w:tcPr>
            <w:tcW w:w="1944" w:type="pct"/>
          </w:tcPr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Ph2CN2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1Ph2C: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3Ph2C:+O2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Ph2COO+Ph2CN2</w:t>
            </w:r>
          </w:p>
          <w:p w:rsidR="005D6DAD" w:rsidRPr="00E435B1" w:rsidRDefault="005D6DAD" w:rsidP="00946DB5">
            <w:r w:rsidRPr="00E435B1">
              <w:t>Ph2COO+Ph2COO</w:t>
            </w:r>
          </w:p>
          <w:p w:rsidR="005D6DAD" w:rsidRPr="00E435B1" w:rsidRDefault="005D6DAD" w:rsidP="00946DB5">
            <w:r w:rsidRPr="00E435B1">
              <w:t>Ph2COO+ROH</w:t>
            </w:r>
          </w:p>
        </w:tc>
        <w:tc>
          <w:tcPr>
            <w:tcW w:w="712" w:type="pct"/>
          </w:tcPr>
          <w:p w:rsidR="005D6DAD" w:rsidRPr="00E435B1" w:rsidRDefault="0077076F" w:rsidP="00946D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pt;height:6.75pt">
                  <v:imagedata r:id="rId4" o:title=""/>
                </v:shape>
              </w:pict>
            </w:r>
          </w:p>
          <w:p w:rsidR="005D6DAD" w:rsidRPr="00E435B1" w:rsidRDefault="0077076F" w:rsidP="00946DB5">
            <w:r>
              <w:pict>
                <v:shape id="_x0000_i1026" type="#_x0000_t75" alt="" style="width:15pt;height:10.5pt">
                  <v:imagedata r:id="rId5" o:title=""/>
                </v:shape>
              </w:pict>
            </w:r>
          </w:p>
          <w:p w:rsidR="005D6DAD" w:rsidRPr="00E435B1" w:rsidRDefault="0077076F" w:rsidP="00946DB5">
            <w:r>
              <w:pict>
                <v:shape id="_x0000_i1027" type="#_x0000_t75" alt="" style="width:9pt;height:6.75pt">
                  <v:imagedata r:id="rId4" o:title=""/>
                </v:shape>
              </w:pict>
            </w:r>
          </w:p>
          <w:p w:rsidR="005D6DAD" w:rsidRPr="00E435B1" w:rsidRDefault="0077076F" w:rsidP="00946DB5">
            <w:r>
              <w:pict>
                <v:shape id="_x0000_i1028" type="#_x0000_t75" alt="" style="width:9pt;height:6.75pt">
                  <v:imagedata r:id="rId4" o:title=""/>
                </v:shape>
              </w:pict>
            </w:r>
          </w:p>
          <w:p w:rsidR="005D6DAD" w:rsidRPr="00E435B1" w:rsidRDefault="0077076F" w:rsidP="00946DB5">
            <w:r>
              <w:pict>
                <v:shape id="_x0000_i1029" type="#_x0000_t75" alt="" style="width:9pt;height:6.75pt">
                  <v:imagedata r:id="rId4" o:title=""/>
                </v:shape>
              </w:pict>
            </w:r>
          </w:p>
          <w:p w:rsidR="005D6DAD" w:rsidRPr="00E435B1" w:rsidRDefault="0077076F" w:rsidP="00946DB5">
            <w:r>
              <w:pict>
                <v:shape id="_x0000_i1030" type="#_x0000_t75" alt="" style="width:9pt;height:6.75pt">
                  <v:imagedata r:id="rId4" o:title=""/>
                </v:shape>
              </w:pict>
            </w:r>
          </w:p>
        </w:tc>
        <w:tc>
          <w:tcPr>
            <w:tcW w:w="1550" w:type="pct"/>
          </w:tcPr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1Ph2C:+N2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3Ph2C: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</w:t>
            </w:r>
          </w:p>
          <w:p w:rsidR="005D6DAD" w:rsidRPr="00E435B1" w:rsidRDefault="005D6DAD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Ph2C=O+N2</w:t>
            </w:r>
          </w:p>
          <w:p w:rsidR="005D6DAD" w:rsidRPr="00E435B1" w:rsidRDefault="005D6DAD" w:rsidP="00946DB5">
            <w:r w:rsidRPr="00E435B1">
              <w:t>2Ph2C=O=O2</w:t>
            </w:r>
          </w:p>
          <w:p w:rsidR="005D6DAD" w:rsidRPr="00E435B1" w:rsidRDefault="005D6DAD" w:rsidP="00946DB5">
            <w:r w:rsidRPr="00E435B1">
              <w:t>продукты</w:t>
            </w:r>
          </w:p>
        </w:tc>
        <w:tc>
          <w:tcPr>
            <w:tcW w:w="794" w:type="pct"/>
          </w:tcPr>
          <w:p w:rsidR="005D6DAD" w:rsidRPr="00E435B1" w:rsidRDefault="005D6DAD" w:rsidP="00946DB5">
            <w:r w:rsidRPr="00E435B1">
              <w:t>(1)</w:t>
            </w:r>
          </w:p>
          <w:p w:rsidR="005D6DAD" w:rsidRPr="00E435B1" w:rsidRDefault="005D6DAD" w:rsidP="00946DB5">
            <w:r w:rsidRPr="00E435B1">
              <w:t>(ST, TS)</w:t>
            </w:r>
          </w:p>
          <w:p w:rsidR="005D6DAD" w:rsidRPr="00E435B1" w:rsidRDefault="005D6DAD" w:rsidP="00946DB5">
            <w:r w:rsidRPr="00E435B1">
              <w:t>(2)</w:t>
            </w:r>
          </w:p>
          <w:p w:rsidR="005D6DAD" w:rsidRPr="00E435B1" w:rsidRDefault="005D6DAD" w:rsidP="00946DB5">
            <w:r w:rsidRPr="00E435B1">
              <w:t>(3)</w:t>
            </w:r>
          </w:p>
          <w:p w:rsidR="005D6DAD" w:rsidRPr="00E435B1" w:rsidRDefault="005D6DAD" w:rsidP="00946DB5">
            <w:r w:rsidRPr="00E435B1">
              <w:t>(4)</w:t>
            </w:r>
          </w:p>
          <w:p w:rsidR="005D6DAD" w:rsidRPr="00E435B1" w:rsidRDefault="005D6DAD" w:rsidP="00946DB5">
            <w:r w:rsidRPr="00E435B1">
              <w:t>(5)</w:t>
            </w:r>
          </w:p>
        </w:tc>
      </w:tr>
    </w:tbl>
    <w:p w:rsidR="005D6DAD" w:rsidRPr="00E435B1" w:rsidRDefault="005D6DAD" w:rsidP="005D6DAD">
      <w:pPr>
        <w:spacing w:before="120"/>
        <w:ind w:firstLine="567"/>
        <w:jc w:val="both"/>
      </w:pPr>
      <w:r w:rsidRPr="00E435B1">
        <w:t>Начальная концентрация Ph2CN2 во всех случаях составляла 1.8.10-4 моль/л. Все исследования проводились при комнатной температуре. За расходованием БФО следили спектрофотометрически в растворе ацетонитрила на максимуме поглощения (410</w:t>
      </w:r>
      <w:r>
        <w:t xml:space="preserve"> </w:t>
      </w:r>
      <w:r w:rsidRPr="00E435B1">
        <w:t>нм), в бензоле - 415</w:t>
      </w:r>
      <w:r>
        <w:t xml:space="preserve"> </w:t>
      </w:r>
      <w:r w:rsidRPr="00E435B1">
        <w:t>нм [1].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Согласно схеме, убыль оптической плотности A, соответствующая расходованию БФО, описывается уравнением:</w:t>
      </w:r>
    </w:p>
    <w:tbl>
      <w:tblPr>
        <w:tblW w:w="5000" w:type="pct"/>
        <w:tblCellSpacing w:w="0" w:type="dxa"/>
        <w:tblInd w:w="-4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919"/>
        <w:gridCol w:w="809"/>
      </w:tblGrid>
      <w:tr w:rsidR="005D6DAD" w:rsidRPr="00E435B1" w:rsidTr="00946DB5">
        <w:trPr>
          <w:tblCellSpacing w:w="0" w:type="dxa"/>
        </w:trPr>
        <w:tc>
          <w:tcPr>
            <w:tcW w:w="4584" w:type="pct"/>
          </w:tcPr>
          <w:p w:rsidR="005D6DAD" w:rsidRPr="00E435B1" w:rsidRDefault="0077076F" w:rsidP="00946DB5">
            <w:r>
              <w:pict>
                <v:shape id="_x0000_i1031" type="#_x0000_t75" alt="" style="width:207.75pt;height:27.75pt">
                  <v:imagedata r:id="rId6" o:title=""/>
                </v:shape>
              </w:pict>
            </w:r>
          </w:p>
        </w:tc>
        <w:tc>
          <w:tcPr>
            <w:tcW w:w="416" w:type="pct"/>
            <w:vAlign w:val="center"/>
          </w:tcPr>
          <w:p w:rsidR="005D6DAD" w:rsidRPr="00E435B1" w:rsidRDefault="005D6DAD" w:rsidP="00946DB5">
            <w:r w:rsidRPr="00E435B1">
              <w:t>(I)</w:t>
            </w:r>
          </w:p>
        </w:tc>
      </w:tr>
    </w:tbl>
    <w:p w:rsidR="005D6DAD" w:rsidRPr="00E435B1" w:rsidRDefault="005D6DAD" w:rsidP="005D6DAD">
      <w:pPr>
        <w:spacing w:before="120"/>
        <w:ind w:firstLine="567"/>
        <w:jc w:val="both"/>
      </w:pPr>
      <w:r w:rsidRPr="00E435B1">
        <w:t xml:space="preserve">где коэффициент экстинкции </w:t>
      </w:r>
      <w:r w:rsidR="0077076F">
        <w:pict>
          <v:shape id="_x0000_i1032" type="#_x0000_t75" alt="" style="width:3.75pt;height:6pt">
            <v:imagedata r:id="rId7" o:title=""/>
          </v:shape>
        </w:pict>
      </w:r>
      <w:r w:rsidRPr="00E435B1">
        <w:t>=1900 л/моль.см [1], длина кюветы l=10 см, k4 - константа скорости реакции рекомбинации БФО. В ацетонитриле k4=1.8.107 л/моль.с и в бензоле k4=7.107 л/моль.с [2].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Методом нелинейного регрессионного анализа, используя известные значения А0 и k(2), находили константы k(1), линейно зависящие от концентрации ROН. Из тангенса угла наклона этих зависимостей определяли абсолютные константы скорости взаимодействия БФО со спиртами k5 (табл.).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Таблица. Абсолютные константы скорости реакции Ph2COO c ROH (293 К).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1"/>
        <w:gridCol w:w="1891"/>
        <w:gridCol w:w="1697"/>
        <w:gridCol w:w="1615"/>
        <w:gridCol w:w="1301"/>
        <w:gridCol w:w="1431"/>
      </w:tblGrid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R</w:t>
            </w:r>
          </w:p>
        </w:tc>
        <w:tc>
          <w:tcPr>
            <w:tcW w:w="94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[ROH], моль/л</w:t>
            </w:r>
          </w:p>
        </w:tc>
        <w:tc>
          <w:tcPr>
            <w:tcW w:w="16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k5, л/моль·с</w:t>
            </w:r>
          </w:p>
        </w:tc>
        <w:tc>
          <w:tcPr>
            <w:tcW w:w="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pK [3]</w:t>
            </w:r>
          </w:p>
        </w:tc>
        <w:tc>
          <w:tcPr>
            <w:tcW w:w="7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IP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/>
        </w:tc>
        <w:tc>
          <w:tcPr>
            <w:tcW w:w="94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/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CH3CN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C6H6</w:t>
            </w:r>
          </w:p>
        </w:tc>
        <w:tc>
          <w:tcPr>
            <w:tcW w:w="6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/>
        </w:tc>
        <w:tc>
          <w:tcPr>
            <w:tcW w:w="7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D6DAD" w:rsidRPr="00E435B1" w:rsidRDefault="005D6DAD" w:rsidP="00946DB5"/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H2O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7.10-1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(4.7</w:t>
            </w:r>
            <w:r w:rsidR="0077076F">
              <w:pict>
                <v:shape id="_x0000_i1033" type="#_x0000_t75" alt="" style="width:4.5pt;height:6.75pt">
                  <v:imagedata r:id="rId8" o:title=""/>
                </v:shape>
              </w:pict>
            </w:r>
            <w:r w:rsidRPr="00E435B1">
              <w:t>0.9).102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–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15.7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12.17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MeOH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7.10-1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(1.0</w:t>
            </w:r>
            <w:r w:rsidR="0077076F">
              <w:pict>
                <v:shape id="_x0000_i1034" type="#_x0000_t75" alt="" style="width:4.5pt;height:6.75pt">
                  <v:imagedata r:id="rId8" o:title=""/>
                </v:shape>
              </w:pict>
            </w:r>
            <w:r w:rsidRPr="00E435B1">
              <w:t>0.1).103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(1.3</w:t>
            </w:r>
            <w:r w:rsidR="0077076F">
              <w:pict>
                <v:shape id="_x0000_i1035" type="#_x0000_t75" alt="" style="width:4.5pt;height:6.75pt">
                  <v:imagedata r:id="rId8" o:title=""/>
                </v:shape>
              </w:pict>
            </w:r>
            <w:r w:rsidRPr="00E435B1">
              <w:t>0.2).104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16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10.82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i-PrOH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5.10-3.1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(1.2</w:t>
            </w:r>
            <w:r w:rsidR="0077076F">
              <w:pict>
                <v:shape id="_x0000_i1036" type="#_x0000_t75" alt="" style="width:4.5pt;height:6.75pt">
                  <v:imagedata r:id="rId8" o:title=""/>
                </v:shape>
              </w:pict>
            </w:r>
            <w:r w:rsidRPr="00E435B1">
              <w:t>0.1).103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(5.3</w:t>
            </w:r>
            <w:r w:rsidR="0077076F">
              <w:pict>
                <v:shape id="_x0000_i1037" type="#_x0000_t75" alt="" style="width:4.5pt;height:6.75pt">
                  <v:imagedata r:id="rId8" o:title=""/>
                </v:shape>
              </w:pict>
            </w:r>
            <w:r w:rsidRPr="00E435B1">
              <w:t xml:space="preserve"> 0.5).103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18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10.10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EtOH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(1.8</w:t>
            </w:r>
            <w:r w:rsidR="0077076F">
              <w:pict>
                <v:shape id="_x0000_i1038" type="#_x0000_t75" alt="" style="width:4.5pt;height:6.75pt">
                  <v:imagedata r:id="rId8" o:title=""/>
                </v:shape>
              </w:pict>
            </w:r>
            <w:r w:rsidRPr="00E435B1">
              <w:t>0.4).103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(1.0</w:t>
            </w:r>
            <w:r w:rsidR="0077076F">
              <w:pict>
                <v:shape id="_x0000_i1039" type="#_x0000_t75" alt="" style="width:4.5pt;height:6.75pt">
                  <v:imagedata r:id="rId8" o:title=""/>
                </v:shape>
              </w:pict>
            </w:r>
            <w:r w:rsidRPr="00E435B1">
              <w:t xml:space="preserve"> 0.1).104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18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10.41</w:t>
            </w:r>
          </w:p>
        </w:tc>
      </w:tr>
      <w:tr w:rsidR="005D6DAD" w:rsidRPr="00E435B1" w:rsidTr="00946DB5">
        <w:trPr>
          <w:trHeight w:val="1080"/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77076F" w:rsidP="00946DB5">
            <w:r>
              <w:pict>
                <v:shape id="_x0000_i1040" type="#_x0000_t75" alt="" style="width:42.75pt;height:48.75pt">
                  <v:imagedata r:id="rId9" o:title=""/>
                </v:shape>
              </w:pic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6.10-3. 4.10-1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(2.9</w:t>
            </w:r>
            <w:r w:rsidR="0077076F">
              <w:pict>
                <v:shape id="_x0000_i1041" type="#_x0000_t75" alt="" style="width:4.5pt;height:6.75pt">
                  <v:imagedata r:id="rId10" o:title=""/>
                </v:shape>
              </w:pict>
            </w:r>
            <w:r w:rsidRPr="00E435B1">
              <w:t>0.5).103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(2.0</w:t>
            </w:r>
            <w:r w:rsidR="0077076F">
              <w:pict>
                <v:shape id="_x0000_i1042" type="#_x0000_t75" alt="" style="width:4.5pt;height:6.75pt">
                  <v:imagedata r:id="rId10" o:title=""/>
                </v:shape>
              </w:pict>
            </w:r>
            <w:r w:rsidRPr="00E435B1">
              <w:t xml:space="preserve"> 0.3).104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19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D6DAD" w:rsidRPr="00E435B1" w:rsidRDefault="005D6DAD" w:rsidP="00946DB5"/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i-BuOH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(1.8</w:t>
            </w:r>
            <w:r w:rsidR="0077076F">
              <w:pict>
                <v:shape id="_x0000_i1043" type="#_x0000_t75" alt="" style="width:4.5pt;height:6.75pt">
                  <v:imagedata r:id="rId10" o:title=""/>
                </v:shape>
              </w:pict>
            </w:r>
            <w:r w:rsidRPr="00E435B1">
              <w:t xml:space="preserve"> 0.1).103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(1.4</w:t>
            </w:r>
            <w:r w:rsidR="0077076F">
              <w:pict>
                <v:shape id="_x0000_i1044" type="#_x0000_t75" alt="" style="width:4.5pt;height:6.75pt">
                  <v:imagedata r:id="rId10" o:title=""/>
                </v:shape>
              </w:pict>
            </w:r>
            <w:r w:rsidRPr="00E435B1">
              <w:t>0.2).104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>
              <w:t xml:space="preserve"> 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10.02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н-BuOH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5.10-1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(2.2</w:t>
            </w:r>
            <w:r w:rsidR="0077076F">
              <w:pict>
                <v:shape id="_x0000_i1045" type="#_x0000_t75" alt="" style="width:4.5pt;height:6.75pt">
                  <v:imagedata r:id="rId10" o:title=""/>
                </v:shape>
              </w:pict>
            </w:r>
            <w:r w:rsidRPr="00E435B1">
              <w:t xml:space="preserve"> 0.2).103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(1.0</w:t>
            </w:r>
            <w:r w:rsidR="0077076F">
              <w:pict>
                <v:shape id="_x0000_i1046" type="#_x0000_t75" alt="" style="width:4.5pt;height:6.75pt">
                  <v:imagedata r:id="rId10" o:title=""/>
                </v:shape>
              </w:pict>
            </w:r>
            <w:r w:rsidRPr="00E435B1">
              <w:t>0.2).104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>
              <w:t xml:space="preserve"> 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9.99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i-C5H11OH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5.10-3. 3.10-1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(2.3</w:t>
            </w:r>
            <w:r w:rsidR="0077076F">
              <w:pict>
                <v:shape id="_x0000_i1047" type="#_x0000_t75" alt="" style="width:4.5pt;height:6.75pt">
                  <v:imagedata r:id="rId10" o:title=""/>
                </v:shape>
              </w:pict>
            </w:r>
            <w:r w:rsidRPr="00E435B1">
              <w:t>0.4).103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(7</w:t>
            </w:r>
            <w:r w:rsidR="0077076F">
              <w:pict>
                <v:shape id="_x0000_i1048" type="#_x0000_t75" alt="" style="width:4.5pt;height:6.75pt">
                  <v:imagedata r:id="rId10" o:title=""/>
                </v:shape>
              </w:pict>
            </w:r>
            <w:r w:rsidRPr="00E435B1">
              <w:t>1).103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>
              <w:t xml:space="preserve"> 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9.78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ц-C6H13OH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5.10-3. 4.10-2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(4.8</w:t>
            </w:r>
            <w:r w:rsidR="0077076F">
              <w:pict>
                <v:shape id="_x0000_i1049" type="#_x0000_t75" alt="" style="width:4.5pt;height:6.75pt">
                  <v:imagedata r:id="rId10" o:title=""/>
                </v:shape>
              </w:pict>
            </w:r>
            <w:r w:rsidRPr="00E435B1">
              <w:t xml:space="preserve"> 0.7).103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(3</w:t>
            </w:r>
            <w:r w:rsidR="0077076F">
              <w:pict>
                <v:shape id="_x0000_i1050" type="#_x0000_t75" alt="" style="width:4.5pt;height:6.75pt">
                  <v:imagedata r:id="rId10" o:title=""/>
                </v:shape>
              </w:pict>
            </w:r>
            <w:r w:rsidRPr="00E435B1">
              <w:t>1).104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>
              <w:t xml:space="preserve"> 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9.75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77076F" w:rsidP="00946DB5">
            <w:r>
              <w:pict>
                <v:shape id="_x0000_i1051" type="#_x0000_t75" alt="" style="width:48pt;height:29.25pt">
                  <v:imagedata r:id="rId11" o:title=""/>
                </v:shape>
              </w:pic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4.10-3. 5.10-2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(7</w:t>
            </w:r>
            <w:r w:rsidR="0077076F">
              <w:pict>
                <v:shape id="_x0000_i1052" type="#_x0000_t75" alt="" style="width:4.5pt;height:6.75pt">
                  <v:imagedata r:id="rId12" o:title=""/>
                </v:shape>
              </w:pict>
            </w:r>
            <w:r w:rsidRPr="00E435B1">
              <w:t>1).103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(2.5</w:t>
            </w:r>
            <w:r w:rsidR="0077076F">
              <w:pict>
                <v:shape id="_x0000_i1053" type="#_x0000_t75" alt="" style="width:4.5pt;height:6.75pt">
                  <v:imagedata r:id="rId12" o:title=""/>
                </v:shape>
              </w:pict>
            </w:r>
            <w:r w:rsidRPr="00E435B1">
              <w:t>0.6).105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6DAD" w:rsidRPr="00E435B1" w:rsidRDefault="005D6DAD" w:rsidP="00946DB5">
            <w:r>
              <w:t xml:space="preserve"> 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D6DAD" w:rsidRPr="00E435B1" w:rsidRDefault="005D6DAD" w:rsidP="00946DB5">
            <w:r w:rsidRPr="00E435B1">
              <w:t>9.09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Ph3COH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1.10-2. 3.10-1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(4</w:t>
            </w:r>
            <w:r w:rsidR="0077076F">
              <w:pict>
                <v:shape id="_x0000_i1054" type="#_x0000_t75" alt="" style="width:4.5pt;height:6.75pt">
                  <v:imagedata r:id="rId12" o:title=""/>
                </v:shape>
              </w:pict>
            </w:r>
            <w:r w:rsidRPr="00E435B1">
              <w:t>1).102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–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19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>
              <w:t xml:space="preserve"> </w:t>
            </w:r>
          </w:p>
        </w:tc>
      </w:tr>
      <w:tr w:rsidR="005D6DAD" w:rsidRPr="00E435B1" w:rsidTr="00946DB5">
        <w:trPr>
          <w:tblCellSpacing w:w="7" w:type="dxa"/>
          <w:jc w:val="center"/>
        </w:trPr>
        <w:tc>
          <w:tcPr>
            <w:tcW w:w="98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PhCH2OH</w:t>
            </w:r>
          </w:p>
        </w:tc>
        <w:tc>
          <w:tcPr>
            <w:tcW w:w="9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2.10-4.1.10-2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–</w:t>
            </w:r>
          </w:p>
        </w:tc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(2.4</w:t>
            </w:r>
            <w:r w:rsidR="0077076F">
              <w:pict>
                <v:shape id="_x0000_i1055" type="#_x0000_t75" alt="" style="width:4.5pt;height:6.75pt">
                  <v:imagedata r:id="rId12" o:title=""/>
                </v:shape>
              </w:pict>
            </w:r>
            <w:r w:rsidRPr="00E435B1">
              <w:t>0.4).104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DAD" w:rsidRPr="00E435B1" w:rsidRDefault="005D6DAD" w:rsidP="00946DB5">
            <w:r w:rsidRPr="00E435B1">
              <w:t>18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D6DAD" w:rsidRPr="00E435B1" w:rsidRDefault="005D6DAD" w:rsidP="00946DB5">
            <w:r w:rsidRPr="00E435B1">
              <w:t>8.26</w:t>
            </w:r>
          </w:p>
        </w:tc>
      </w:tr>
    </w:tbl>
    <w:p w:rsidR="005D6DAD" w:rsidRPr="00E435B1" w:rsidRDefault="005D6DAD" w:rsidP="005D6DAD">
      <w:pPr>
        <w:spacing w:before="120"/>
        <w:ind w:firstLine="567"/>
        <w:jc w:val="both"/>
      </w:pPr>
      <w:r>
        <w:t xml:space="preserve">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Как видно из таблицы, константа скорости БФО со спиртами в бензоле в среднем на порядок выше, чем в ацетонитриле для всех ROH. Аналогичное влияние растворителей на константу скорости рекомбинации БФО описано в работе [2]. Это связано с экстра-поляризацией карбонилоксида в полярном ацетонитриле, что приводит к усилению степени сольватации БФО и понижению его реакционной способности.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Для объяснения влияния природы спирта на кинетику реакции с БФО были исследованы зависимости логарифма константы скорости реакции k5 от кислотности спирта (pK), а также от потенциала ионизации ROH (IP).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С ростом кислотности спиртов по шкале Мак-Ивена (падение pK) наблюдается уменьшение константы скорости взаимодействия БФО со спиртом в среде ацетонитрила, а в бензоле удовлетворительная корреляция отсутствует. С ростом потенциала ионизации спирта IP константа скорости реакции уменьшается как в ацетонитриле, так и в бензоле. Эти результаты свидетельствуют об электрофильной атаке карбонилоксидом молекулы спирта и согласуются с литературными данными об электронной природе исследуемой реакции, полученными методом хемилюминесценции [4]. Можно предположить, что реакция протекает по механизму внедрения карбонилоксида по связи O-H спирта, причем в лимитирующей стадии реакции осуществляется образование химической связи между атомом углерода БФО и атомом кислорода гидроксильной группы. Замедление реакции в среде CH3CN, по-видимому, связано с образованием прочного комплекса между БФО и молекулой растворителя, что понижает реакционную способность карбонилоксида в исследуемой реакции. Предполагаемый механизм реакции представлен на схеме.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 xml:space="preserve">С другой стороны, известно [5], что диметилкарбонилоксид реагирует со спиртами как нуклеофил, что, по-видимому, связано с преимущественно бирадикальной природой данного карбонилоксида. Несомненно, электронная природа карбонилоксидов заслуживает дальнейшего внимательного изучения.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Схема</w:t>
      </w:r>
    </w:p>
    <w:p w:rsidR="005D6DAD" w:rsidRPr="00E435B1" w:rsidRDefault="0077076F" w:rsidP="005D6DAD">
      <w:pPr>
        <w:spacing w:before="120"/>
        <w:ind w:firstLine="567"/>
        <w:jc w:val="both"/>
      </w:pPr>
      <w:r>
        <w:pict>
          <v:shape id="_x0000_i1056" type="#_x0000_t75" alt="" style="width:334.5pt;height:151.5pt">
            <v:imagedata r:id="rId13" o:title=""/>
          </v:shape>
        </w:pict>
      </w:r>
    </w:p>
    <w:p w:rsidR="005D6DAD" w:rsidRPr="00E435B1" w:rsidRDefault="005D6DAD" w:rsidP="005D6DAD">
      <w:pPr>
        <w:spacing w:before="120"/>
        <w:ind w:firstLine="567"/>
        <w:jc w:val="both"/>
      </w:pPr>
      <w:r>
        <w:t xml:space="preserve"> </w:t>
      </w:r>
    </w:p>
    <w:p w:rsidR="005D6DAD" w:rsidRPr="00F0599F" w:rsidRDefault="005D6DAD" w:rsidP="005D6DAD">
      <w:pPr>
        <w:spacing w:before="120"/>
        <w:jc w:val="center"/>
        <w:rPr>
          <w:b/>
          <w:bCs/>
          <w:sz w:val="28"/>
          <w:szCs w:val="28"/>
        </w:rPr>
      </w:pPr>
      <w:r w:rsidRPr="00F0599F">
        <w:rPr>
          <w:b/>
          <w:bCs/>
          <w:sz w:val="28"/>
          <w:szCs w:val="28"/>
        </w:rPr>
        <w:t>Список литературы</w:t>
      </w:r>
    </w:p>
    <w:p w:rsidR="005D6DAD" w:rsidRPr="00E435B1" w:rsidRDefault="005D6DAD" w:rsidP="005D6DAD">
      <w:pPr>
        <w:spacing w:before="120"/>
        <w:ind w:firstLine="567"/>
        <w:jc w:val="both"/>
        <w:rPr>
          <w:lang w:val="en-US"/>
        </w:rPr>
      </w:pPr>
      <w:r w:rsidRPr="00E435B1">
        <w:t xml:space="preserve">Назаров А.М., Чайникова Е.М., Хурсан С.Л. и др. // Изв. РАН. Сер. хим. 1998. </w:t>
      </w:r>
      <w:r w:rsidRPr="00E435B1">
        <w:rPr>
          <w:lang w:val="en-US"/>
        </w:rPr>
        <w:t xml:space="preserve">№ 7. </w:t>
      </w:r>
      <w:r w:rsidRPr="00E435B1">
        <w:t>С</w:t>
      </w:r>
      <w:r w:rsidRPr="00E435B1">
        <w:rPr>
          <w:lang w:val="en-US"/>
        </w:rPr>
        <w:t xml:space="preserve">. 1329-1332. </w:t>
      </w:r>
    </w:p>
    <w:p w:rsidR="005D6DAD" w:rsidRPr="00E435B1" w:rsidRDefault="005D6DAD" w:rsidP="005D6DAD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Nazarov A.M., Chainikova E.M., Khursan S.L. et al. // React. Kinet. Catal. Lett. 1998. V. 65. № 2. P. 311-314.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rPr>
          <w:lang w:val="en-US"/>
        </w:rPr>
        <w:t xml:space="preserve">McEwen W.K. // J. Am. </w:t>
      </w:r>
      <w:r w:rsidRPr="00E435B1">
        <w:t xml:space="preserve">Chem. Soc. 1936. V. 58. P. 1124.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 xml:space="preserve">Назаров А.М. Дисс. … докт. хим. наук. Уфа: ИОХ УНЦ РАН, 2000. </w:t>
      </w:r>
    </w:p>
    <w:p w:rsidR="005D6DAD" w:rsidRPr="00E435B1" w:rsidRDefault="005D6DAD" w:rsidP="005D6DAD">
      <w:pPr>
        <w:spacing w:before="120"/>
        <w:ind w:firstLine="567"/>
        <w:jc w:val="both"/>
      </w:pPr>
      <w:r w:rsidRPr="00E435B1">
        <w:t>Yamamoto Y., Niki E., Kamiya Y. // Bull. Chem. Soc. Jpn. 1982. № 55. P. 2677-2678.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DAD"/>
    <w:rsid w:val="00095BA6"/>
    <w:rsid w:val="0031418A"/>
    <w:rsid w:val="005A2562"/>
    <w:rsid w:val="005D6DAD"/>
    <w:rsid w:val="0077076F"/>
    <w:rsid w:val="00946DB5"/>
    <w:rsid w:val="00A44D32"/>
    <w:rsid w:val="00E12572"/>
    <w:rsid w:val="00E435B1"/>
    <w:rsid w:val="00EA77A2"/>
    <w:rsid w:val="00F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docId w15:val="{67404C53-2BDE-476C-9D70-2ADFAFAC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6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3957</Characters>
  <Application>Microsoft Office Word</Application>
  <DocSecurity>0</DocSecurity>
  <Lines>32</Lines>
  <Paragraphs>9</Paragraphs>
  <ScaleCrop>false</ScaleCrop>
  <Company>Home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Константы скорости реакции бензофеноноксида со спиртами</dc:title>
  <dc:subject/>
  <dc:creator>Alena</dc:creator>
  <cp:keywords/>
  <dc:description/>
  <cp:lastModifiedBy>admin</cp:lastModifiedBy>
  <cp:revision>2</cp:revision>
  <dcterms:created xsi:type="dcterms:W3CDTF">2014-02-16T14:24:00Z</dcterms:created>
  <dcterms:modified xsi:type="dcterms:W3CDTF">2014-02-16T14:24:00Z</dcterms:modified>
</cp:coreProperties>
</file>