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D7C61" w:rsidRPr="0019412D" w:rsidRDefault="00AD7C61" w:rsidP="00AD7C61">
      <w:pPr>
        <w:spacing w:before="120"/>
        <w:jc w:val="center"/>
        <w:rPr>
          <w:b/>
          <w:bCs/>
          <w:sz w:val="32"/>
          <w:szCs w:val="32"/>
        </w:rPr>
      </w:pPr>
      <w:r w:rsidRPr="0019412D">
        <w:rPr>
          <w:b/>
          <w:bCs/>
          <w:sz w:val="32"/>
          <w:szCs w:val="32"/>
        </w:rPr>
        <w:t>Бюджетное управление в холдингах: с чего начать</w:t>
      </w:r>
    </w:p>
    <w:p w:rsidR="00AD7C61" w:rsidRPr="0019412D" w:rsidRDefault="00AD7C61" w:rsidP="00AD7C61">
      <w:pPr>
        <w:spacing w:before="120"/>
        <w:ind w:firstLine="567"/>
        <w:jc w:val="both"/>
        <w:rPr>
          <w:sz w:val="28"/>
          <w:szCs w:val="28"/>
        </w:rPr>
      </w:pPr>
      <w:r w:rsidRPr="0019412D">
        <w:rPr>
          <w:sz w:val="28"/>
          <w:szCs w:val="28"/>
        </w:rPr>
        <w:t xml:space="preserve">Наталья Ростова, эксперт «Консультанта» </w:t>
      </w:r>
    </w:p>
    <w:p w:rsidR="00AD7C61" w:rsidRDefault="00AD7C61" w:rsidP="00AD7C61">
      <w:pPr>
        <w:spacing w:before="120"/>
        <w:ind w:firstLine="567"/>
        <w:jc w:val="both"/>
      </w:pPr>
      <w:r w:rsidRPr="00B369EA">
        <w:t>Бюджетирование в холдингах имеет свои особенности. Например, концепция построения бюджетной модели может зависеть от вида холдинга (вертикальный, горизонтальный или смешанный). А организация бюджетирования – от системы управления в группе компаний. Подробнее об этом рассказала на семинаре Ирина Абрамова, старший менеджер «МАГ консалтинг».</w:t>
      </w:r>
    </w:p>
    <w:p w:rsidR="00AD7C61" w:rsidRPr="00B369EA" w:rsidRDefault="00AD7C61" w:rsidP="00AD7C61">
      <w:pPr>
        <w:spacing w:before="120"/>
        <w:ind w:firstLine="567"/>
        <w:jc w:val="both"/>
      </w:pPr>
      <w:r w:rsidRPr="00B369EA">
        <w:t xml:space="preserve">Не так давно специалисты «МАГ консалтинг» занимались постановкой бюджетного управления в одном крупном инвестиционно-строительном холдинге (ИСХ). Ирина Абрамова построила свой доклад на примере этого проекта. </w:t>
      </w:r>
    </w:p>
    <w:p w:rsidR="00AD7C61" w:rsidRPr="00B369EA" w:rsidRDefault="00AD7C61" w:rsidP="00AD7C61">
      <w:pPr>
        <w:spacing w:before="120"/>
        <w:ind w:firstLine="567"/>
        <w:jc w:val="both"/>
      </w:pPr>
      <w:r w:rsidRPr="00B369EA">
        <w:t xml:space="preserve">Итак, при бюджетировании холдинга важно обратить внимание, к какому виду он относится. В нашем примере мы имеем дело с вертикальной моделью. Ее особенность – высокая централизация управленческих процессов. Дочерним предприятиям обеспечен постоянный внутренний заказ. Исходя из этого, формируется логика бюджетной модели, так как взаимодействие дочерних компаний должно быть непрерывным по технологическому циклу и логистике. Ирина Абрамова обратила внимание на основные составляющие успеха в данном процессе. Во-первых, бюджетная модель должна охватывать все компании холдинга: «Я вас предостерегаю от так называемого локального бюджетирования. Когда выбирается одна дочерняя компания, она бюджетируется, и опыт по аналогии распространяется на остальные предприятия холдинга». Во-вторых, необходимо прописать все организационные процедуры процесса бюджетирования. И в-третьих, нужна автоматизация. Конечно, можно использовать и Excel, но он не дает достаточных возможностей для финансового моделирования и анализа. </w:t>
      </w:r>
    </w:p>
    <w:p w:rsidR="00AD7C61" w:rsidRPr="0019412D" w:rsidRDefault="00AD7C61" w:rsidP="00AD7C61">
      <w:pPr>
        <w:spacing w:before="120"/>
        <w:jc w:val="center"/>
        <w:rPr>
          <w:b/>
          <w:bCs/>
          <w:sz w:val="28"/>
          <w:szCs w:val="28"/>
        </w:rPr>
      </w:pPr>
      <w:r w:rsidRPr="0019412D">
        <w:rPr>
          <w:b/>
          <w:bCs/>
          <w:sz w:val="28"/>
          <w:szCs w:val="28"/>
        </w:rPr>
        <w:t xml:space="preserve">Нужно «обследовать больного» </w:t>
      </w:r>
    </w:p>
    <w:p w:rsidR="00AD7C61" w:rsidRPr="00B369EA" w:rsidRDefault="00AD7C61" w:rsidP="00AD7C61">
      <w:pPr>
        <w:spacing w:before="120"/>
        <w:ind w:firstLine="567"/>
        <w:jc w:val="both"/>
      </w:pPr>
      <w:r w:rsidRPr="00B369EA">
        <w:t xml:space="preserve">При внедрении бюджетирования, отметила г-жа Абрамова, сначала нужно «обследовать больного». Важно найти в компании проблемные места, которые лучше исправить до постановки бюджетирования. Они могут касаться взаимодействия дочерних компаний друг с другом и с управляющей компанией, организационной структуры холдинга в целом, управленческого учета, документооборота. «Документ – это поток информации, который нужен для бюджетирования. Если в холдинге проблемы с документооборотом, это неизбежно отразится на бюджетировании». </w:t>
      </w:r>
    </w:p>
    <w:p w:rsidR="00AD7C61" w:rsidRPr="00B369EA" w:rsidRDefault="00AD7C61" w:rsidP="00AD7C61">
      <w:pPr>
        <w:spacing w:before="120"/>
        <w:ind w:firstLine="567"/>
        <w:jc w:val="both"/>
      </w:pPr>
      <w:r w:rsidRPr="00B369EA">
        <w:t xml:space="preserve">Также нужно проанализировать существующую систему планирования и принятия управленческих решений. И конечно, важно учесть отраслевую специфику. </w:t>
      </w:r>
    </w:p>
    <w:p w:rsidR="00AD7C61" w:rsidRPr="00B369EA" w:rsidRDefault="00AD7C61" w:rsidP="00AD7C61">
      <w:pPr>
        <w:spacing w:before="120"/>
        <w:ind w:firstLine="567"/>
        <w:jc w:val="both"/>
      </w:pPr>
      <w:r w:rsidRPr="00B369EA">
        <w:t xml:space="preserve">В нашем случае мы говорим об ИСХ. Поэтому мы берем в расчет длительность инвестиционного цикла, график работ (это отражается на распределении затрат по периодам), сметный подход и т. п. Эти особенности должны быть отражены в бюджетной модели. </w:t>
      </w:r>
    </w:p>
    <w:p w:rsidR="00AD7C61" w:rsidRPr="0019412D" w:rsidRDefault="00AD7C61" w:rsidP="00AD7C61">
      <w:pPr>
        <w:spacing w:before="120"/>
        <w:jc w:val="center"/>
        <w:rPr>
          <w:b/>
          <w:bCs/>
          <w:sz w:val="28"/>
          <w:szCs w:val="28"/>
        </w:rPr>
      </w:pPr>
      <w:r w:rsidRPr="0019412D">
        <w:rPr>
          <w:b/>
          <w:bCs/>
          <w:sz w:val="28"/>
          <w:szCs w:val="28"/>
        </w:rPr>
        <w:t xml:space="preserve">Финансовая структура холдинга </w:t>
      </w:r>
    </w:p>
    <w:p w:rsidR="00AD7C61" w:rsidRPr="00B369EA" w:rsidRDefault="00AD7C61" w:rsidP="00AD7C61">
      <w:pPr>
        <w:spacing w:before="120"/>
        <w:ind w:firstLine="567"/>
        <w:jc w:val="both"/>
      </w:pPr>
      <w:r w:rsidRPr="00B369EA">
        <w:t xml:space="preserve">Для постановки бюджетирования необходимо разработать финансовую структуру холдинга. Так, в ИСХ все центры финансовой ответственности (ЦФО) были разделены по уровням управления в соответствии с организационной структурой. Первый уровень – это холдинг в целом. Второй – направления бизнеса и управляющая компания. Третий – дочерние предприятия и департаменты управляющей компании и т. д. </w:t>
      </w:r>
    </w:p>
    <w:p w:rsidR="00AD7C61" w:rsidRPr="00B369EA" w:rsidRDefault="00AD7C61" w:rsidP="00AD7C61">
      <w:pPr>
        <w:spacing w:before="120"/>
        <w:ind w:firstLine="567"/>
        <w:jc w:val="both"/>
      </w:pPr>
      <w:r w:rsidRPr="00B369EA">
        <w:t xml:space="preserve">Для нужд учета и бюджетирования пришлось формально объединить часть дочерних компаний в отдельное направление бизнеса, которое назвали «Дополнительная деятельность». Получилось некоторое виртуальное объединение, у которого нет руководителя и аппарата. Направления бизнеса объединяют определенные дочерние компании с целью оценки финансовых показателей отдельного вида деятельности. </w:t>
      </w:r>
    </w:p>
    <w:p w:rsidR="00AD7C61" w:rsidRPr="0019412D" w:rsidRDefault="00AD7C61" w:rsidP="00AD7C61">
      <w:pPr>
        <w:spacing w:before="120"/>
        <w:jc w:val="center"/>
        <w:rPr>
          <w:b/>
          <w:bCs/>
          <w:sz w:val="28"/>
          <w:szCs w:val="28"/>
        </w:rPr>
      </w:pPr>
      <w:r w:rsidRPr="0019412D">
        <w:rPr>
          <w:b/>
          <w:bCs/>
          <w:sz w:val="28"/>
          <w:szCs w:val="28"/>
        </w:rPr>
        <w:t xml:space="preserve">Вопросы методологии бюджетирования </w:t>
      </w:r>
    </w:p>
    <w:p w:rsidR="00AD7C61" w:rsidRPr="00B369EA" w:rsidRDefault="00AD7C61" w:rsidP="00AD7C61">
      <w:pPr>
        <w:spacing w:before="120"/>
        <w:ind w:firstLine="567"/>
        <w:jc w:val="both"/>
      </w:pPr>
      <w:r w:rsidRPr="00B369EA">
        <w:t xml:space="preserve">Сначала в ИСХ, как отметила г-жа Абрамова, была разработана схема, отражающая основные бизнес-процессы компании (так называемый мастер-бюджет или основной бюджет). Она учитывала взаимодействие в цепочке «инвестор–заказчик–генподрядчик» и, соответственно, формирование себестоимости квадратного метра. Потом были разработаны сами бюджетные формы мастер-бюджета, а также методика их заполнения. «Необходимо не только построить модель в Excel, но и описать словами, какая информация переходит из одной бюджетной формы в другую, а какая информация является входящей для бюджетных форм. Тогда вы сразу получите документооборот по бюджетированию и ответственность за предоставление информации. То есть уже начнете вводить систему бюджетного контроля». </w:t>
      </w:r>
    </w:p>
    <w:p w:rsidR="00AD7C61" w:rsidRPr="00B369EA" w:rsidRDefault="00AD7C61" w:rsidP="00AD7C61">
      <w:pPr>
        <w:spacing w:before="120"/>
        <w:ind w:firstLine="567"/>
        <w:jc w:val="both"/>
      </w:pPr>
      <w:r w:rsidRPr="00B369EA">
        <w:t xml:space="preserve">Полученная структура системы бюджетирования показана на схеме. Кроме того, Ирина Абрамова обратила внимание на то, как были распределены бюджеты и ответственность за них по ЦФО (см. табл.). </w:t>
      </w:r>
    </w:p>
    <w:p w:rsidR="00AD7C61" w:rsidRPr="0019412D" w:rsidRDefault="00AD7C61" w:rsidP="00AD7C61">
      <w:pPr>
        <w:spacing w:before="120"/>
        <w:jc w:val="center"/>
        <w:rPr>
          <w:b/>
          <w:bCs/>
          <w:sz w:val="28"/>
          <w:szCs w:val="28"/>
        </w:rPr>
      </w:pPr>
      <w:r w:rsidRPr="0019412D">
        <w:rPr>
          <w:b/>
          <w:bCs/>
          <w:sz w:val="28"/>
          <w:szCs w:val="28"/>
        </w:rPr>
        <w:t xml:space="preserve">Консолидация бюджетных форм </w:t>
      </w:r>
    </w:p>
    <w:p w:rsidR="00AD7C61" w:rsidRPr="00B369EA" w:rsidRDefault="00AD7C61" w:rsidP="00AD7C61">
      <w:pPr>
        <w:spacing w:before="120"/>
        <w:ind w:firstLine="567"/>
        <w:jc w:val="both"/>
      </w:pPr>
      <w:r w:rsidRPr="00B369EA">
        <w:t xml:space="preserve">Чтобы оценить финансовый результат отдельного направления бизнеса, в ИСХ необходимо было консолидировать бюджетные формы дочерних предприятий, которые в него входят. А затем, чтобы посмотреть ситуацию в целом по холдингу, нужно было консолидировать бюджетные формы направлений бизнеса. Для этого, отметила г-жа Абрамова, у каждой бюджетной статьи было сделано три аналитических разреза – внешний, внутри направления деятельности и между направлениями деятельности. </w:t>
      </w:r>
    </w:p>
    <w:p w:rsidR="00AD7C61" w:rsidRPr="00B369EA" w:rsidRDefault="00AD7C61" w:rsidP="00AD7C61">
      <w:pPr>
        <w:spacing w:before="120"/>
        <w:ind w:firstLine="567"/>
        <w:jc w:val="both"/>
      </w:pPr>
      <w:r w:rsidRPr="00B369EA">
        <w:t xml:space="preserve">Ирина Абрамова посоветовала не спешить вводить «скользящее» бюджетирование (корректировка по месяцам) на этапе построения и налаживания системы бюджетирования: «Лучше сделать первоначальную корректировку хотя бы через полгода. “Скользящее” бюджетирование сначала следует вводить не ежемесячно, а поквартально. Нужно исходить из ваших реальных возможностей – сможете ли вы получить информацию и обработать ее таким образом, чтобы своевременно скорректировать бюджет». </w:t>
      </w:r>
    </w:p>
    <w:p w:rsidR="00AD7C61" w:rsidRPr="00B369EA" w:rsidRDefault="00AD7C61" w:rsidP="00AD7C61">
      <w:pPr>
        <w:spacing w:before="120"/>
        <w:ind w:firstLine="567"/>
        <w:jc w:val="both"/>
      </w:pPr>
      <w:r w:rsidRPr="00B369EA">
        <w:t xml:space="preserve">Говоря о формах бюджетного контроля, г-жа Абрамова также отметила, что важно формализовать процесс ответственности за составление и исполнение бюджетов1: «Здесь очень помогает распределение функций. Того или иного руководителя нужно наделять ответственностью в зависимости от того, какие функции выполняет его подразделение и лично он сам». </w:t>
      </w:r>
    </w:p>
    <w:p w:rsidR="00AD7C61" w:rsidRPr="0019412D" w:rsidRDefault="00AD7C61" w:rsidP="00AD7C61">
      <w:pPr>
        <w:spacing w:before="120"/>
        <w:jc w:val="center"/>
        <w:rPr>
          <w:b/>
          <w:bCs/>
          <w:sz w:val="28"/>
          <w:szCs w:val="28"/>
        </w:rPr>
      </w:pPr>
      <w:r w:rsidRPr="0019412D">
        <w:rPr>
          <w:b/>
          <w:bCs/>
          <w:sz w:val="28"/>
          <w:szCs w:val="28"/>
        </w:rPr>
        <w:t xml:space="preserve">Как организовать бюджетный процесс </w:t>
      </w:r>
    </w:p>
    <w:p w:rsidR="00AD7C61" w:rsidRPr="00B369EA" w:rsidRDefault="00AD7C61" w:rsidP="00AD7C61">
      <w:pPr>
        <w:spacing w:before="120"/>
        <w:ind w:firstLine="567"/>
        <w:jc w:val="both"/>
      </w:pPr>
      <w:r w:rsidRPr="00B369EA">
        <w:t xml:space="preserve">В проекте, о котором рассказывала г-жа Абрамова, не были созданы корпоративные стандарты. Для ИСХ это будет следующим шагом. В частности, нужно утвердить единый стандарт бюджетной системы для холдинга и описать в нем концепцию бюджетирования, основные документы по бюджетированию. </w:t>
      </w:r>
    </w:p>
    <w:p w:rsidR="00AD7C61" w:rsidRPr="00B369EA" w:rsidRDefault="00AD7C61" w:rsidP="00AD7C61">
      <w:pPr>
        <w:spacing w:before="120"/>
        <w:ind w:firstLine="567"/>
        <w:jc w:val="both"/>
      </w:pPr>
      <w:r w:rsidRPr="00B369EA">
        <w:t xml:space="preserve">В холдингах бюджетная модель во многом зависит от системы управления. Так как рассматриваемый ИСХ относился к разряду управленческих (то есть управляющая компания играла роль контролирующего органа), то был принят подход к построению бюджетирования «снизу вверх». Здесь возникали свои проблемы. «Руководителям дочерних компаний приходилось объяснять, как нужно выстраивать бюджеты, что теперь они сами отвечают за свои показатели. А управляющая компания производит только их консолидацию, анализ и корректировку. Кроме продаж, рекламы и кредитов, все остальное планируют дочерние предприятия». </w:t>
      </w:r>
    </w:p>
    <w:p w:rsidR="00AD7C61" w:rsidRPr="00B369EA" w:rsidRDefault="00AD7C61" w:rsidP="00AD7C61">
      <w:pPr>
        <w:spacing w:before="120"/>
        <w:ind w:firstLine="567"/>
        <w:jc w:val="both"/>
      </w:pPr>
      <w:r w:rsidRPr="00B369EA">
        <w:t xml:space="preserve">Очень важно, по словам Ирины Абрамовой, описать функции подразделения, которое отвечает за бюджетирование, и закрепить их в «Положении о подразделении». Руководство бюджетным процессом и все необходимые изменения этого процесса должны быть сосредоточены в одних руках. </w:t>
      </w: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47"/>
        <w:gridCol w:w="2870"/>
        <w:gridCol w:w="5821"/>
      </w:tblGrid>
      <w:tr w:rsidR="00AD7C61" w:rsidRPr="00B369EA" w:rsidTr="00A81C14">
        <w:trPr>
          <w:tblCellSpacing w:w="0" w:type="dxa"/>
        </w:trPr>
        <w:tc>
          <w:tcPr>
            <w:tcW w:w="5000" w:type="pct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D7C61" w:rsidRPr="00B369EA" w:rsidRDefault="00AD7C61" w:rsidP="00A81C14">
            <w:pPr>
              <w:jc w:val="both"/>
            </w:pPr>
            <w:r w:rsidRPr="00B369EA">
              <w:t xml:space="preserve">Распределение бюджетов по ЦФО </w:t>
            </w:r>
          </w:p>
        </w:tc>
      </w:tr>
      <w:tr w:rsidR="00AD7C61" w:rsidRPr="00B369EA" w:rsidTr="00A81C14">
        <w:trPr>
          <w:tblCellSpacing w:w="0" w:type="dxa"/>
        </w:trPr>
        <w:tc>
          <w:tcPr>
            <w:tcW w:w="491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D7C61" w:rsidRPr="00B369EA" w:rsidRDefault="00AD7C61" w:rsidP="00A81C14">
            <w:pPr>
              <w:jc w:val="both"/>
            </w:pPr>
            <w:r w:rsidRPr="00B369EA">
              <w:t xml:space="preserve">№ пп </w:t>
            </w:r>
          </w:p>
          <w:p w:rsidR="00AD7C61" w:rsidRPr="00B369EA" w:rsidRDefault="00AD7C61" w:rsidP="00A81C14">
            <w:pPr>
              <w:jc w:val="both"/>
            </w:pPr>
          </w:p>
        </w:tc>
        <w:tc>
          <w:tcPr>
            <w:tcW w:w="14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D7C61" w:rsidRPr="00B369EA" w:rsidRDefault="00AD7C61" w:rsidP="00A81C14">
            <w:pPr>
              <w:jc w:val="both"/>
            </w:pPr>
            <w:r w:rsidRPr="00B369EA">
              <w:t xml:space="preserve">Наименование ЦФО </w:t>
            </w:r>
          </w:p>
          <w:p w:rsidR="00AD7C61" w:rsidRPr="00B369EA" w:rsidRDefault="00AD7C61" w:rsidP="00A81C14">
            <w:pPr>
              <w:jc w:val="both"/>
            </w:pPr>
          </w:p>
        </w:tc>
        <w:tc>
          <w:tcPr>
            <w:tcW w:w="30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AD7C61" w:rsidRPr="00B369EA" w:rsidRDefault="00AD7C61" w:rsidP="00A81C14">
            <w:pPr>
              <w:jc w:val="both"/>
            </w:pPr>
            <w:r w:rsidRPr="00B369EA">
              <w:t xml:space="preserve">Наименование бюджетов </w:t>
            </w:r>
          </w:p>
          <w:p w:rsidR="00AD7C61" w:rsidRPr="00B369EA" w:rsidRDefault="00AD7C61" w:rsidP="00A81C14">
            <w:pPr>
              <w:jc w:val="both"/>
            </w:pPr>
          </w:p>
        </w:tc>
      </w:tr>
      <w:tr w:rsidR="00AD7C61" w:rsidRPr="00B369EA" w:rsidTr="00A81C14">
        <w:trPr>
          <w:tblCellSpacing w:w="0" w:type="dxa"/>
        </w:trPr>
        <w:tc>
          <w:tcPr>
            <w:tcW w:w="491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D7C61" w:rsidRPr="00B369EA" w:rsidRDefault="00AD7C61" w:rsidP="00A81C14">
            <w:pPr>
              <w:jc w:val="both"/>
            </w:pPr>
            <w:r w:rsidRPr="00B369EA">
              <w:t>1</w:t>
            </w:r>
          </w:p>
        </w:tc>
        <w:tc>
          <w:tcPr>
            <w:tcW w:w="14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D7C61" w:rsidRPr="00B369EA" w:rsidRDefault="00AD7C61" w:rsidP="00A81C14">
            <w:pPr>
              <w:jc w:val="both"/>
            </w:pPr>
            <w:r w:rsidRPr="00B369EA">
              <w:t>Холдинг</w:t>
            </w:r>
          </w:p>
        </w:tc>
        <w:tc>
          <w:tcPr>
            <w:tcW w:w="30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AD7C61" w:rsidRPr="00B369EA" w:rsidRDefault="00AD7C61" w:rsidP="00A81C14">
            <w:pPr>
              <w:jc w:val="both"/>
            </w:pPr>
            <w:r w:rsidRPr="00B369EA">
              <w:t xml:space="preserve">консолидированный бюджет прибылей/убытков (БПУ) </w:t>
            </w:r>
          </w:p>
          <w:p w:rsidR="00AD7C61" w:rsidRPr="00B369EA" w:rsidRDefault="00AD7C61" w:rsidP="00A81C14">
            <w:pPr>
              <w:jc w:val="both"/>
            </w:pPr>
            <w:r w:rsidRPr="00B369EA">
              <w:t xml:space="preserve">консолидированный прогнозный баланс (ПБ) </w:t>
            </w:r>
          </w:p>
          <w:p w:rsidR="00AD7C61" w:rsidRPr="00B369EA" w:rsidRDefault="00AD7C61" w:rsidP="00A81C14">
            <w:pPr>
              <w:jc w:val="both"/>
            </w:pPr>
            <w:r w:rsidRPr="00B369EA">
              <w:t xml:space="preserve">консолидированный бюджет движения денежных средств (БДДС) </w:t>
            </w:r>
          </w:p>
          <w:p w:rsidR="00AD7C61" w:rsidRPr="00B369EA" w:rsidRDefault="00AD7C61" w:rsidP="00A81C14">
            <w:pPr>
              <w:jc w:val="both"/>
            </w:pPr>
            <w:r w:rsidRPr="00B369EA">
              <w:t xml:space="preserve">кредитный бюджет </w:t>
            </w:r>
          </w:p>
          <w:p w:rsidR="00AD7C61" w:rsidRPr="00B369EA" w:rsidRDefault="00AD7C61" w:rsidP="00A81C14">
            <w:pPr>
              <w:jc w:val="both"/>
            </w:pPr>
            <w:r w:rsidRPr="00B369EA">
              <w:t xml:space="preserve">бюджет продаж (БПр) </w:t>
            </w:r>
          </w:p>
          <w:p w:rsidR="00AD7C61" w:rsidRPr="00B369EA" w:rsidRDefault="00AD7C61" w:rsidP="00A81C14">
            <w:pPr>
              <w:jc w:val="both"/>
            </w:pPr>
            <w:r w:rsidRPr="00B369EA">
              <w:t xml:space="preserve">бюджет рекламных затрат </w:t>
            </w:r>
          </w:p>
          <w:p w:rsidR="00AD7C61" w:rsidRPr="00B369EA" w:rsidRDefault="00AD7C61" w:rsidP="00A81C14">
            <w:pPr>
              <w:jc w:val="both"/>
            </w:pPr>
          </w:p>
        </w:tc>
      </w:tr>
      <w:tr w:rsidR="00AD7C61" w:rsidRPr="00B369EA" w:rsidTr="00A81C14">
        <w:trPr>
          <w:tblCellSpacing w:w="0" w:type="dxa"/>
        </w:trPr>
        <w:tc>
          <w:tcPr>
            <w:tcW w:w="491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D7C61" w:rsidRPr="00B369EA" w:rsidRDefault="00AD7C61" w:rsidP="00A81C14">
            <w:pPr>
              <w:jc w:val="both"/>
            </w:pPr>
            <w:r w:rsidRPr="00B369EA">
              <w:t>2</w:t>
            </w:r>
          </w:p>
        </w:tc>
        <w:tc>
          <w:tcPr>
            <w:tcW w:w="14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D7C61" w:rsidRPr="00B369EA" w:rsidRDefault="00AD7C61" w:rsidP="00A81C14">
            <w:pPr>
              <w:jc w:val="both"/>
            </w:pPr>
            <w:r w:rsidRPr="00B369EA">
              <w:t>Направление бизнеса</w:t>
            </w:r>
          </w:p>
        </w:tc>
        <w:tc>
          <w:tcPr>
            <w:tcW w:w="30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AD7C61" w:rsidRPr="00B369EA" w:rsidRDefault="00AD7C61" w:rsidP="00A81C14">
            <w:pPr>
              <w:jc w:val="both"/>
            </w:pPr>
            <w:r w:rsidRPr="00B369EA">
              <w:t xml:space="preserve">БПУ </w:t>
            </w:r>
          </w:p>
          <w:p w:rsidR="00AD7C61" w:rsidRPr="00B369EA" w:rsidRDefault="00AD7C61" w:rsidP="00A81C14">
            <w:pPr>
              <w:jc w:val="both"/>
            </w:pPr>
            <w:r w:rsidRPr="00B369EA">
              <w:t xml:space="preserve">ПБ </w:t>
            </w:r>
          </w:p>
          <w:p w:rsidR="00AD7C61" w:rsidRPr="00B369EA" w:rsidRDefault="00AD7C61" w:rsidP="00A81C14">
            <w:pPr>
              <w:jc w:val="both"/>
            </w:pPr>
            <w:r w:rsidRPr="00B369EA">
              <w:t xml:space="preserve">БДДС </w:t>
            </w:r>
          </w:p>
          <w:p w:rsidR="00AD7C61" w:rsidRPr="00B369EA" w:rsidRDefault="00AD7C61" w:rsidP="00A81C14">
            <w:pPr>
              <w:jc w:val="both"/>
            </w:pPr>
            <w:r w:rsidRPr="00B369EA">
              <w:t xml:space="preserve">Инвестиционный бюджет (ИБ) </w:t>
            </w:r>
          </w:p>
          <w:p w:rsidR="00AD7C61" w:rsidRPr="00B369EA" w:rsidRDefault="00AD7C61" w:rsidP="00A81C14">
            <w:pPr>
              <w:jc w:val="both"/>
            </w:pPr>
          </w:p>
        </w:tc>
      </w:tr>
      <w:tr w:rsidR="00AD7C61" w:rsidRPr="00B369EA" w:rsidTr="00A81C14">
        <w:trPr>
          <w:tblCellSpacing w:w="0" w:type="dxa"/>
        </w:trPr>
        <w:tc>
          <w:tcPr>
            <w:tcW w:w="491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D7C61" w:rsidRPr="00B369EA" w:rsidRDefault="00AD7C61" w:rsidP="00A81C14">
            <w:pPr>
              <w:jc w:val="both"/>
            </w:pPr>
            <w:r w:rsidRPr="00B369EA">
              <w:t>3</w:t>
            </w:r>
          </w:p>
        </w:tc>
        <w:tc>
          <w:tcPr>
            <w:tcW w:w="14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D7C61" w:rsidRPr="00B369EA" w:rsidRDefault="00AD7C61" w:rsidP="00A81C14">
            <w:pPr>
              <w:jc w:val="both"/>
            </w:pPr>
            <w:r w:rsidRPr="00B369EA">
              <w:t>ЦФО (уровня дочерних компаний)</w:t>
            </w:r>
          </w:p>
        </w:tc>
        <w:tc>
          <w:tcPr>
            <w:tcW w:w="30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AD7C61" w:rsidRPr="00B369EA" w:rsidRDefault="00AD7C61" w:rsidP="00A81C14">
            <w:pPr>
              <w:jc w:val="both"/>
            </w:pPr>
            <w:r w:rsidRPr="00B369EA">
              <w:t xml:space="preserve">БПУ </w:t>
            </w:r>
          </w:p>
          <w:p w:rsidR="00AD7C61" w:rsidRPr="00B369EA" w:rsidRDefault="00AD7C61" w:rsidP="00A81C14">
            <w:pPr>
              <w:jc w:val="both"/>
            </w:pPr>
            <w:r w:rsidRPr="00B369EA">
              <w:t xml:space="preserve">ПБ </w:t>
            </w:r>
          </w:p>
          <w:p w:rsidR="00AD7C61" w:rsidRPr="00B369EA" w:rsidRDefault="00AD7C61" w:rsidP="00A81C14">
            <w:pPr>
              <w:jc w:val="both"/>
            </w:pPr>
            <w:r w:rsidRPr="00B369EA">
              <w:t xml:space="preserve">БДДС </w:t>
            </w:r>
          </w:p>
          <w:p w:rsidR="00AD7C61" w:rsidRPr="00B369EA" w:rsidRDefault="00AD7C61" w:rsidP="00A81C14">
            <w:pPr>
              <w:jc w:val="both"/>
            </w:pPr>
            <w:r w:rsidRPr="00B369EA">
              <w:t xml:space="preserve">ИБ </w:t>
            </w:r>
          </w:p>
          <w:p w:rsidR="00AD7C61" w:rsidRPr="00B369EA" w:rsidRDefault="00AD7C61" w:rsidP="00A81C14">
            <w:pPr>
              <w:jc w:val="both"/>
            </w:pPr>
            <w:r w:rsidRPr="00B369EA">
              <w:t xml:space="preserve">БПУ проекта </w:t>
            </w:r>
          </w:p>
          <w:p w:rsidR="00AD7C61" w:rsidRPr="00B369EA" w:rsidRDefault="00AD7C61" w:rsidP="00A81C14">
            <w:pPr>
              <w:jc w:val="both"/>
            </w:pPr>
            <w:r w:rsidRPr="00B369EA">
              <w:t xml:space="preserve">БДДС проекта </w:t>
            </w:r>
          </w:p>
          <w:p w:rsidR="00AD7C61" w:rsidRPr="00B369EA" w:rsidRDefault="00AD7C61" w:rsidP="00A81C14">
            <w:pPr>
              <w:jc w:val="both"/>
            </w:pPr>
            <w:r w:rsidRPr="00B369EA">
              <w:t xml:space="preserve">Операционные бюджеты, составляемые исходя из специфики деятельности соответствующей компании/структурной единицы, такие как: </w:t>
            </w:r>
          </w:p>
          <w:p w:rsidR="00AD7C61" w:rsidRPr="00B369EA" w:rsidRDefault="00AD7C61" w:rsidP="00A81C14">
            <w:pPr>
              <w:jc w:val="both"/>
            </w:pPr>
            <w:r w:rsidRPr="00B369EA">
              <w:t xml:space="preserve">бюджет продаж </w:t>
            </w:r>
          </w:p>
          <w:p w:rsidR="00AD7C61" w:rsidRPr="00B369EA" w:rsidRDefault="00AD7C61" w:rsidP="00A81C14">
            <w:pPr>
              <w:jc w:val="both"/>
            </w:pPr>
            <w:r w:rsidRPr="00B369EA">
              <w:t xml:space="preserve">бюджет товарно-материальных запасов и др. </w:t>
            </w:r>
          </w:p>
          <w:p w:rsidR="00AD7C61" w:rsidRPr="00B369EA" w:rsidRDefault="00AD7C61" w:rsidP="00A81C14">
            <w:pPr>
              <w:jc w:val="both"/>
            </w:pPr>
          </w:p>
        </w:tc>
      </w:tr>
      <w:tr w:rsidR="00AD7C61" w:rsidRPr="00B369EA" w:rsidTr="00A81C14">
        <w:trPr>
          <w:tblCellSpacing w:w="0" w:type="dxa"/>
        </w:trPr>
        <w:tc>
          <w:tcPr>
            <w:tcW w:w="491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D7C61" w:rsidRPr="00B369EA" w:rsidRDefault="00AD7C61" w:rsidP="00A81C14">
            <w:pPr>
              <w:jc w:val="both"/>
            </w:pPr>
            <w:r w:rsidRPr="00B369EA">
              <w:t>4</w:t>
            </w:r>
          </w:p>
        </w:tc>
        <w:tc>
          <w:tcPr>
            <w:tcW w:w="14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D7C61" w:rsidRPr="00B369EA" w:rsidRDefault="00AD7C61" w:rsidP="00A81C14">
            <w:pPr>
              <w:jc w:val="both"/>
            </w:pPr>
            <w:r w:rsidRPr="00B369EA">
              <w:t>Управляющая компания</w:t>
            </w:r>
          </w:p>
        </w:tc>
        <w:tc>
          <w:tcPr>
            <w:tcW w:w="30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AD7C61" w:rsidRPr="00B369EA" w:rsidRDefault="00AD7C61" w:rsidP="00A81C14">
            <w:pPr>
              <w:jc w:val="both"/>
            </w:pPr>
            <w:r w:rsidRPr="00B369EA">
              <w:t xml:space="preserve">БПУ </w:t>
            </w:r>
          </w:p>
          <w:p w:rsidR="00AD7C61" w:rsidRPr="00B369EA" w:rsidRDefault="00AD7C61" w:rsidP="00A81C14">
            <w:pPr>
              <w:jc w:val="both"/>
            </w:pPr>
            <w:r w:rsidRPr="00B369EA">
              <w:t xml:space="preserve">ПБ </w:t>
            </w:r>
          </w:p>
          <w:p w:rsidR="00AD7C61" w:rsidRPr="00B369EA" w:rsidRDefault="00AD7C61" w:rsidP="00A81C14">
            <w:pPr>
              <w:jc w:val="both"/>
            </w:pPr>
            <w:r w:rsidRPr="00B369EA">
              <w:t xml:space="preserve">БДДС </w:t>
            </w:r>
          </w:p>
          <w:p w:rsidR="00AD7C61" w:rsidRPr="00B369EA" w:rsidRDefault="00AD7C61" w:rsidP="00A81C14">
            <w:pPr>
              <w:jc w:val="both"/>
            </w:pPr>
            <w:r w:rsidRPr="00B369EA">
              <w:t xml:space="preserve">ИБ </w:t>
            </w:r>
          </w:p>
          <w:p w:rsidR="00AD7C61" w:rsidRPr="00B369EA" w:rsidRDefault="00AD7C61" w:rsidP="00A81C14">
            <w:pPr>
              <w:jc w:val="both"/>
            </w:pPr>
          </w:p>
        </w:tc>
      </w:tr>
      <w:tr w:rsidR="00AD7C61" w:rsidRPr="00B369EA" w:rsidTr="00A81C14">
        <w:trPr>
          <w:tblCellSpacing w:w="0" w:type="dxa"/>
        </w:trPr>
        <w:tc>
          <w:tcPr>
            <w:tcW w:w="491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D7C61" w:rsidRPr="00B369EA" w:rsidRDefault="00AD7C61" w:rsidP="00A81C14">
            <w:pPr>
              <w:jc w:val="both"/>
            </w:pPr>
            <w:r w:rsidRPr="00B369EA">
              <w:t>5</w:t>
            </w:r>
          </w:p>
        </w:tc>
        <w:tc>
          <w:tcPr>
            <w:tcW w:w="14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D7C61" w:rsidRPr="00B369EA" w:rsidRDefault="00AD7C61" w:rsidP="00A81C14">
            <w:pPr>
              <w:jc w:val="both"/>
            </w:pPr>
            <w:r w:rsidRPr="00B369EA">
              <w:t>Проект (консолидированный)</w:t>
            </w:r>
          </w:p>
        </w:tc>
        <w:tc>
          <w:tcPr>
            <w:tcW w:w="30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AD7C61" w:rsidRPr="00B369EA" w:rsidRDefault="00AD7C61" w:rsidP="00A81C14">
            <w:pPr>
              <w:jc w:val="both"/>
            </w:pPr>
            <w:r w:rsidRPr="00B369EA">
              <w:t xml:space="preserve">БПУ проекта </w:t>
            </w:r>
          </w:p>
          <w:p w:rsidR="00AD7C61" w:rsidRPr="00B369EA" w:rsidRDefault="00AD7C61" w:rsidP="00A81C14">
            <w:pPr>
              <w:jc w:val="both"/>
            </w:pPr>
            <w:r w:rsidRPr="00B369EA">
              <w:t xml:space="preserve">БДДС проекта </w:t>
            </w:r>
          </w:p>
          <w:p w:rsidR="00AD7C61" w:rsidRPr="00B369EA" w:rsidRDefault="00AD7C61" w:rsidP="00A81C14">
            <w:pPr>
              <w:jc w:val="both"/>
            </w:pPr>
          </w:p>
        </w:tc>
      </w:tr>
    </w:tbl>
    <w:p w:rsidR="00B42C45" w:rsidRDefault="00B42C45">
      <w:bookmarkStart w:id="0" w:name="_GoBack"/>
      <w:bookmarkEnd w:id="0"/>
    </w:p>
    <w:sectPr w:rsidR="00B42C45" w:rsidSect="00B47B6A">
      <w:pgSz w:w="11906" w:h="16838"/>
      <w:pgMar w:top="1134" w:right="1134" w:bottom="1134" w:left="1134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08"/>
  <w:hyphenationZone w:val="425"/>
  <w:drawingGridHorizontalSpacing w:val="109"/>
  <w:drawingGridVerticalSpacing w:val="381"/>
  <w:displayHorizontalDrawingGridEvery w:val="2"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D7C61"/>
    <w:rsid w:val="0019412D"/>
    <w:rsid w:val="00616072"/>
    <w:rsid w:val="0065637E"/>
    <w:rsid w:val="008B35EE"/>
    <w:rsid w:val="00A81C14"/>
    <w:rsid w:val="00AD7C61"/>
    <w:rsid w:val="00B369EA"/>
    <w:rsid w:val="00B42C45"/>
    <w:rsid w:val="00B47B6A"/>
    <w:rsid w:val="00EC70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09F53D30-8306-4F71-A431-41DD95BB62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uk-UA" w:eastAsia="uk-U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D7C61"/>
    <w:pPr>
      <w:spacing w:after="0" w:line="240" w:lineRule="auto"/>
    </w:pPr>
    <w:rPr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">
    <w:name w:val="Стиль3"/>
    <w:basedOn w:val="a"/>
    <w:uiPriority w:val="99"/>
    <w:rsid w:val="00616072"/>
    <w:pPr>
      <w:spacing w:before="120" w:line="360" w:lineRule="exact"/>
      <w:ind w:left="709"/>
    </w:pPr>
    <w:rPr>
      <w:b/>
      <w:bCs/>
      <w:sz w:val="32"/>
      <w:szCs w:val="32"/>
      <w:lang w:eastAsia="ko-KR"/>
    </w:rPr>
  </w:style>
  <w:style w:type="character" w:styleId="a3">
    <w:name w:val="Hyperlink"/>
    <w:basedOn w:val="a0"/>
    <w:uiPriority w:val="99"/>
    <w:rsid w:val="00AD7C61"/>
    <w:rPr>
      <w:color w:val="22229C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4844</Words>
  <Characters>2762</Characters>
  <Application>Microsoft Office Word</Application>
  <DocSecurity>0</DocSecurity>
  <Lines>23</Lines>
  <Paragraphs>15</Paragraphs>
  <ScaleCrop>false</ScaleCrop>
  <Company>Home</Company>
  <LinksUpToDate>false</LinksUpToDate>
  <CharactersWithSpaces>7591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Бюджетное управление в холдингах: с чего начать</dc:title>
  <dc:subject/>
  <dc:creator>User</dc:creator>
  <cp:keywords/>
  <dc:description/>
  <cp:lastModifiedBy>admin</cp:lastModifiedBy>
  <cp:revision>2</cp:revision>
  <dcterms:created xsi:type="dcterms:W3CDTF">2014-01-24T17:10:00Z</dcterms:created>
  <dcterms:modified xsi:type="dcterms:W3CDTF">2014-01-24T17:10:00Z</dcterms:modified>
</cp:coreProperties>
</file>