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48" w:rsidRDefault="005F1E24">
      <w:pPr>
        <w:pStyle w:val="a3"/>
        <w:spacing w:before="120" w:after="120" w:line="312" w:lineRule="auto"/>
        <w:ind w:right="-1"/>
        <w:rPr>
          <w:sz w:val="36"/>
        </w:rPr>
      </w:pPr>
      <w:r>
        <w:rPr>
          <w:sz w:val="36"/>
        </w:rPr>
        <w:t>Государственный Университет Нефти и Газа им. И.М. Губкина.</w:t>
      </w:r>
    </w:p>
    <w:p w:rsidR="00356148" w:rsidRDefault="00356148">
      <w:pPr>
        <w:pStyle w:val="a3"/>
        <w:spacing w:before="120" w:after="120" w:line="312" w:lineRule="auto"/>
        <w:ind w:right="-1"/>
      </w:pPr>
    </w:p>
    <w:p w:rsidR="00356148" w:rsidRDefault="005F1E24">
      <w:pPr>
        <w:pStyle w:val="a3"/>
        <w:spacing w:before="120" w:after="120" w:line="312" w:lineRule="auto"/>
        <w:ind w:right="-1"/>
        <w:jc w:val="left"/>
        <w:rPr>
          <w:sz w:val="30"/>
        </w:rPr>
      </w:pPr>
      <w:r>
        <w:rPr>
          <w:sz w:val="30"/>
        </w:rPr>
        <w:t>Кафедра</w:t>
      </w:r>
    </w:p>
    <w:p w:rsidR="00356148" w:rsidRDefault="005F1E24">
      <w:pPr>
        <w:pStyle w:val="a3"/>
        <w:spacing w:before="120" w:after="120" w:line="312" w:lineRule="auto"/>
        <w:ind w:right="-1"/>
        <w:rPr>
          <w:sz w:val="32"/>
        </w:rPr>
      </w:pPr>
      <w:r>
        <w:rPr>
          <w:sz w:val="32"/>
        </w:rPr>
        <w:t>Международного нефтегазового бизнеса</w:t>
      </w:r>
    </w:p>
    <w:p w:rsidR="00356148" w:rsidRDefault="00356148">
      <w:pPr>
        <w:pStyle w:val="a3"/>
        <w:spacing w:before="120" w:after="120" w:line="312" w:lineRule="auto"/>
        <w:ind w:right="-1"/>
      </w:pPr>
    </w:p>
    <w:p w:rsidR="00356148" w:rsidRDefault="005F1E24">
      <w:pPr>
        <w:pStyle w:val="a3"/>
        <w:spacing w:before="120" w:after="120" w:line="312" w:lineRule="auto"/>
        <w:ind w:right="-1"/>
        <w:jc w:val="left"/>
        <w:rPr>
          <w:sz w:val="32"/>
        </w:rPr>
      </w:pPr>
      <w:r>
        <w:rPr>
          <w:sz w:val="32"/>
        </w:rPr>
        <w:t>Реферат на тему</w:t>
      </w:r>
    </w:p>
    <w:p w:rsidR="00356148" w:rsidRDefault="00356148">
      <w:pPr>
        <w:pStyle w:val="a3"/>
        <w:spacing w:before="120" w:after="120" w:line="312" w:lineRule="auto"/>
        <w:ind w:right="-1"/>
      </w:pPr>
    </w:p>
    <w:p w:rsidR="00356148" w:rsidRDefault="005F1E24">
      <w:pPr>
        <w:pStyle w:val="a3"/>
        <w:spacing w:before="120" w:after="120" w:line="312" w:lineRule="auto"/>
        <w:ind w:right="-1"/>
        <w:rPr>
          <w:b/>
          <w:i/>
          <w:sz w:val="36"/>
        </w:rPr>
      </w:pPr>
      <w:r>
        <w:rPr>
          <w:b/>
          <w:i/>
          <w:sz w:val="36"/>
        </w:rPr>
        <w:t>«Геополитика нефти. Западная Европа.»</w:t>
      </w:r>
    </w:p>
    <w:p w:rsidR="00356148" w:rsidRDefault="00356148">
      <w:pPr>
        <w:pStyle w:val="a3"/>
        <w:spacing w:before="120" w:after="120" w:line="312" w:lineRule="auto"/>
        <w:ind w:right="-1"/>
        <w:jc w:val="right"/>
        <w:rPr>
          <w:u w:val="single"/>
        </w:rPr>
      </w:pPr>
    </w:p>
    <w:p w:rsidR="00356148" w:rsidRDefault="00356148">
      <w:pPr>
        <w:pStyle w:val="a3"/>
        <w:spacing w:before="120" w:after="120" w:line="312" w:lineRule="auto"/>
        <w:ind w:right="-1"/>
        <w:jc w:val="right"/>
        <w:rPr>
          <w:u w:val="single"/>
        </w:rPr>
      </w:pPr>
    </w:p>
    <w:p w:rsidR="00356148" w:rsidRDefault="005F1E24">
      <w:pPr>
        <w:pStyle w:val="a3"/>
        <w:spacing w:before="120" w:after="120" w:line="312" w:lineRule="auto"/>
        <w:ind w:right="-1"/>
        <w:jc w:val="right"/>
        <w:rPr>
          <w:u w:val="single"/>
        </w:rPr>
      </w:pPr>
      <w:r>
        <w:rPr>
          <w:u w:val="single"/>
        </w:rPr>
        <w:t xml:space="preserve">Работу выполнила: </w:t>
      </w:r>
    </w:p>
    <w:p w:rsidR="00356148" w:rsidRDefault="00356148">
      <w:pPr>
        <w:pStyle w:val="a3"/>
        <w:spacing w:before="120" w:after="120" w:line="312" w:lineRule="auto"/>
        <w:ind w:right="-1"/>
        <w:jc w:val="right"/>
        <w:rPr>
          <w:u w:val="single"/>
        </w:rPr>
      </w:pPr>
    </w:p>
    <w:p w:rsidR="00356148" w:rsidRDefault="005F1E24">
      <w:pPr>
        <w:pStyle w:val="a3"/>
        <w:spacing w:before="120" w:after="120" w:line="312" w:lineRule="auto"/>
        <w:ind w:right="-1"/>
        <w:jc w:val="right"/>
        <w:rPr>
          <w:u w:val="single"/>
        </w:rPr>
      </w:pPr>
      <w:r>
        <w:rPr>
          <w:u w:val="single"/>
        </w:rPr>
        <w:t>Работу проверил:</w:t>
      </w:r>
    </w:p>
    <w:p w:rsidR="00356148" w:rsidRDefault="005F1E24">
      <w:pPr>
        <w:pStyle w:val="a3"/>
        <w:spacing w:before="120" w:after="120" w:line="312" w:lineRule="auto"/>
        <w:ind w:right="-1"/>
        <w:jc w:val="right"/>
        <w:rPr>
          <w:i/>
        </w:rPr>
      </w:pPr>
      <w:r>
        <w:rPr>
          <w:i/>
        </w:rPr>
        <w:t>Камзолов А.А.</w:t>
      </w:r>
    </w:p>
    <w:p w:rsidR="00356148" w:rsidRDefault="00356148">
      <w:pPr>
        <w:pStyle w:val="a3"/>
        <w:spacing w:before="120" w:after="120" w:line="312" w:lineRule="auto"/>
        <w:ind w:right="-1"/>
        <w:jc w:val="right"/>
      </w:pPr>
    </w:p>
    <w:p w:rsidR="00356148" w:rsidRDefault="00356148">
      <w:pPr>
        <w:pStyle w:val="a3"/>
        <w:spacing w:before="120" w:after="120" w:line="312" w:lineRule="auto"/>
        <w:ind w:right="-1"/>
      </w:pPr>
    </w:p>
    <w:p w:rsidR="00356148" w:rsidRDefault="00356148">
      <w:pPr>
        <w:pStyle w:val="a3"/>
        <w:spacing w:before="120" w:after="120" w:line="312" w:lineRule="auto"/>
        <w:ind w:right="-1"/>
      </w:pPr>
    </w:p>
    <w:p w:rsidR="00356148" w:rsidRDefault="00356148">
      <w:pPr>
        <w:pStyle w:val="a3"/>
        <w:spacing w:before="120" w:after="120" w:line="312" w:lineRule="auto"/>
        <w:ind w:right="-1"/>
      </w:pPr>
    </w:p>
    <w:p w:rsidR="00356148" w:rsidRDefault="005F1E24">
      <w:pPr>
        <w:pStyle w:val="a3"/>
        <w:spacing w:before="120" w:after="120" w:line="312" w:lineRule="auto"/>
        <w:ind w:right="-1"/>
      </w:pPr>
      <w:r>
        <w:t>Москва,2000г.</w:t>
      </w:r>
    </w:p>
    <w:p w:rsidR="00356148" w:rsidRDefault="005F1E24">
      <w:pPr>
        <w:pStyle w:val="3"/>
      </w:pPr>
      <w:r>
        <w:t>План</w:t>
      </w:r>
    </w:p>
    <w:p w:rsidR="00356148" w:rsidRDefault="00356148"/>
    <w:p w:rsidR="00356148" w:rsidRDefault="005F1E24">
      <w:pPr>
        <w:rPr>
          <w:snapToGrid w:val="0"/>
          <w:sz w:val="28"/>
        </w:rPr>
      </w:pPr>
      <w:r>
        <w:rPr>
          <w:snapToGrid w:val="0"/>
          <w:sz w:val="28"/>
        </w:rPr>
        <w:t>Введение</w:t>
      </w:r>
    </w:p>
    <w:p w:rsidR="00356148" w:rsidRDefault="005F1E24">
      <w:pPr>
        <w:numPr>
          <w:ilvl w:val="0"/>
          <w:numId w:val="3"/>
        </w:numPr>
        <w:rPr>
          <w:snapToGrid w:val="0"/>
          <w:sz w:val="28"/>
        </w:rPr>
      </w:pPr>
      <w:r>
        <w:rPr>
          <w:snapToGrid w:val="0"/>
          <w:sz w:val="28"/>
        </w:rPr>
        <w:t>Спрос на рынке нефти</w:t>
      </w:r>
    </w:p>
    <w:p w:rsidR="00356148" w:rsidRDefault="005F1E24">
      <w:pPr>
        <w:numPr>
          <w:ilvl w:val="0"/>
          <w:numId w:val="4"/>
        </w:numPr>
        <w:rPr>
          <w:snapToGrid w:val="0"/>
          <w:sz w:val="28"/>
        </w:rPr>
      </w:pPr>
      <w:r>
        <w:rPr>
          <w:snapToGrid w:val="0"/>
          <w:sz w:val="28"/>
        </w:rPr>
        <w:t>Общий обзор</w:t>
      </w:r>
    </w:p>
    <w:p w:rsidR="00356148" w:rsidRDefault="005F1E24">
      <w:pPr>
        <w:numPr>
          <w:ilvl w:val="0"/>
          <w:numId w:val="4"/>
        </w:numPr>
        <w:rPr>
          <w:snapToGrid w:val="0"/>
          <w:sz w:val="28"/>
        </w:rPr>
      </w:pPr>
      <w:r>
        <w:rPr>
          <w:snapToGrid w:val="0"/>
          <w:sz w:val="28"/>
        </w:rPr>
        <w:t>Западная Европа</w:t>
      </w:r>
    </w:p>
    <w:p w:rsidR="00356148" w:rsidRDefault="005F1E24">
      <w:pPr>
        <w:numPr>
          <w:ilvl w:val="0"/>
          <w:numId w:val="3"/>
        </w:numPr>
        <w:rPr>
          <w:snapToGrid w:val="0"/>
          <w:sz w:val="28"/>
        </w:rPr>
      </w:pPr>
      <w:r>
        <w:rPr>
          <w:snapToGrid w:val="0"/>
          <w:sz w:val="28"/>
        </w:rPr>
        <w:t>Предложение на рынке нефти</w:t>
      </w:r>
    </w:p>
    <w:p w:rsidR="00356148" w:rsidRDefault="005F1E24">
      <w:pPr>
        <w:numPr>
          <w:ilvl w:val="0"/>
          <w:numId w:val="5"/>
        </w:numPr>
        <w:rPr>
          <w:snapToGrid w:val="0"/>
          <w:sz w:val="28"/>
        </w:rPr>
      </w:pPr>
      <w:r>
        <w:rPr>
          <w:snapToGrid w:val="0"/>
          <w:sz w:val="28"/>
        </w:rPr>
        <w:t>Общий обзор</w:t>
      </w:r>
    </w:p>
    <w:p w:rsidR="00356148" w:rsidRDefault="005F1E24">
      <w:pPr>
        <w:numPr>
          <w:ilvl w:val="0"/>
          <w:numId w:val="5"/>
        </w:numPr>
        <w:rPr>
          <w:snapToGrid w:val="0"/>
          <w:sz w:val="28"/>
        </w:rPr>
      </w:pPr>
      <w:r>
        <w:rPr>
          <w:snapToGrid w:val="0"/>
          <w:sz w:val="28"/>
        </w:rPr>
        <w:t>Западная Европа</w:t>
      </w:r>
    </w:p>
    <w:p w:rsidR="00356148" w:rsidRDefault="00356148">
      <w:pPr>
        <w:rPr>
          <w:snapToGrid w:val="0"/>
          <w:sz w:val="28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356148">
      <w:pPr>
        <w:rPr>
          <w:snapToGrid w:val="0"/>
          <w:sz w:val="26"/>
        </w:rPr>
      </w:pPr>
    </w:p>
    <w:p w:rsidR="00356148" w:rsidRDefault="005F1E24">
      <w:pPr>
        <w:pStyle w:val="4"/>
      </w:pPr>
      <w:r>
        <w:t>Введение</w:t>
      </w:r>
    </w:p>
    <w:p w:rsidR="00356148" w:rsidRDefault="005F1E24">
      <w:pPr>
        <w:spacing w:before="240" w:line="340" w:lineRule="auto"/>
        <w:rPr>
          <w:snapToGrid w:val="0"/>
          <w:sz w:val="26"/>
        </w:rPr>
      </w:pPr>
      <w:r>
        <w:rPr>
          <w:snapToGrid w:val="0"/>
          <w:sz w:val="26"/>
        </w:rPr>
        <w:t>•   В феврале биржевые котировки сырой нефти отличались непостоянством. Рост цен на нефтепродукты под влиянием региональных дисбалансов поставок опережал рост цен на сырую нефть. В результате маржа нефтепереработки несколько выросла, пусть и с заниженного уровня.</w:t>
      </w:r>
    </w:p>
    <w:p w:rsidR="00356148" w:rsidRDefault="005F1E24">
      <w:pPr>
        <w:spacing w:before="240" w:line="340" w:lineRule="auto"/>
        <w:rPr>
          <w:snapToGrid w:val="0"/>
          <w:sz w:val="26"/>
        </w:rPr>
      </w:pPr>
      <w:r>
        <w:rPr>
          <w:snapToGrid w:val="0"/>
          <w:sz w:val="26"/>
        </w:rPr>
        <w:t>•  Падение спроса на нефтепродукты между первым и вторым кварталами этого года, согласно прогнозам, должно быть меньше обычного из-за обратного эффекта накопления запасов в предверии 2000 года, более мягкой, чем обычно, погодой и реакции на повышение цен. Хотя спрос на нефтепродукты в это время, как правило, снижается, спрос на сырую нефть может вырасти, так как нефтеперерабатывающая отрасль увеличивает объемы переработки с целью пополнения запасов нефтепродуктов. Возможно, потребуется пополнить и запасы сырой нефти.</w:t>
      </w:r>
    </w:p>
    <w:p w:rsidR="00356148" w:rsidRDefault="005F1E24">
      <w:pPr>
        <w:spacing w:before="240" w:line="340" w:lineRule="auto"/>
        <w:rPr>
          <w:snapToGrid w:val="0"/>
          <w:sz w:val="26"/>
        </w:rPr>
      </w:pPr>
      <w:r>
        <w:rPr>
          <w:snapToGrid w:val="0"/>
          <w:sz w:val="26"/>
        </w:rPr>
        <w:t>•   Согласно прогнозам в 2000 г увеличение спроса превзойдет рост поставок из стран, не входящих в ОЭСР, и это сверх существующего дефицита предложения свыше миллиона баррелей в день в 1999 г, который уже привел к сильному истощению запасов. Чтобы восполнить запасы, изъятые в первом квартале этого года, потребуется дополнительно еще около полумиллиона баррелей в день.</w:t>
      </w:r>
    </w:p>
    <w:p w:rsidR="00356148" w:rsidRDefault="005F1E24">
      <w:pPr>
        <w:pStyle w:val="20"/>
        <w:rPr>
          <w:b w:val="0"/>
        </w:rPr>
      </w:pPr>
      <w:r>
        <w:rPr>
          <w:b w:val="0"/>
        </w:rPr>
        <w:t>•  В конце 1999 г промышленные запасы в странах ОЭСР сократились до еще более низкого уровня, чем прогнозировали ранее. Пересмотренная в сторону понижения величина запасов на конец декабря, равная 46,5 млн. баррелей, увеличила месячное сокращение запасов в декабре на 4,7 млн. баррелей в день Дополнительное сокращение запасов на 0.5 млн. баррелей в день в январь уменьшило промышленные запасы на 2.47 миллиардов баррелей Сокращение запасов, по-видимому, продолжится и в феврале.</w:t>
      </w:r>
    </w:p>
    <w:p w:rsidR="00356148" w:rsidRDefault="005F1E24">
      <w:pPr>
        <w:pStyle w:val="1"/>
        <w:numPr>
          <w:ilvl w:val="0"/>
          <w:numId w:val="6"/>
        </w:numPr>
        <w:rPr>
          <w:sz w:val="32"/>
        </w:rPr>
      </w:pPr>
      <w:r>
        <w:rPr>
          <w:sz w:val="32"/>
        </w:rPr>
        <w:t xml:space="preserve">Спрос на рынке </w:t>
      </w:r>
    </w:p>
    <w:p w:rsidR="00356148" w:rsidRDefault="005F1E24">
      <w:pPr>
        <w:pStyle w:val="1"/>
        <w:numPr>
          <w:ilvl w:val="0"/>
          <w:numId w:val="7"/>
        </w:numPr>
        <w:rPr>
          <w:sz w:val="30"/>
        </w:rPr>
      </w:pPr>
      <w:r>
        <w:rPr>
          <w:sz w:val="30"/>
        </w:rPr>
        <w:t>Общий обзор</w:t>
      </w:r>
    </w:p>
    <w:p w:rsidR="00356148" w:rsidRDefault="005F1E24">
      <w:pPr>
        <w:spacing w:before="240" w:line="340" w:lineRule="auto"/>
        <w:ind w:firstLine="700"/>
        <w:rPr>
          <w:snapToGrid w:val="0"/>
          <w:sz w:val="26"/>
        </w:rPr>
      </w:pPr>
      <w:r>
        <w:rPr>
          <w:snapToGrid w:val="0"/>
          <w:sz w:val="26"/>
        </w:rPr>
        <w:t>По прогнозам в 2000 году мировой спрос на нефть составит в среднем 76,9 млн. баррелей в день, то есть будет на 1,7 млн. баррелей в день (2,2%) больше, чем в 1999 г.. Отражая влияние на спрос повышения цены сырой нефти, прогнозируемая величина роста была снижена на 130 тыс. баррелей в день Оценки роста были снижены в США (как результат ценовой и монетаристской политики), в странах бывшего СССР (где высокие мировые цены на нефть поощряли экспорт в ущерб внутренним поставкам, и из-за финансового кризиса на Украине) и на Ближнем Востоке.</w:t>
      </w:r>
    </w:p>
    <w:p w:rsidR="00356148" w:rsidRDefault="005F1E24">
      <w:pPr>
        <w:spacing w:before="260" w:after="300" w:line="340" w:lineRule="auto"/>
        <w:rPr>
          <w:snapToGrid w:val="0"/>
          <w:sz w:val="26"/>
        </w:rPr>
      </w:pPr>
      <w:r>
        <w:rPr>
          <w:snapToGrid w:val="0"/>
          <w:sz w:val="26"/>
        </w:rPr>
        <w:t>Мировой спрос на нефть по регионам (миллионы баррелей в день)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948"/>
        <w:gridCol w:w="772"/>
        <w:gridCol w:w="920"/>
        <w:gridCol w:w="940"/>
        <w:gridCol w:w="780"/>
        <w:gridCol w:w="780"/>
        <w:gridCol w:w="800"/>
      </w:tblGrid>
      <w:tr w:rsidR="00356148">
        <w:trPr>
          <w:cantSplit/>
          <w:trHeight w:hRule="exact" w:val="620"/>
        </w:trPr>
        <w:tc>
          <w:tcPr>
            <w:tcW w:w="6460" w:type="dxa"/>
            <w:gridSpan w:val="5"/>
          </w:tcPr>
          <w:p w:rsidR="00356148" w:rsidRDefault="005F1E24">
            <w:pPr>
              <w:spacing w:before="40"/>
              <w:jc w:val="center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Изменение за год (млн.баррелей в день )</w:t>
            </w:r>
          </w:p>
        </w:tc>
        <w:tc>
          <w:tcPr>
            <w:tcW w:w="2360" w:type="dxa"/>
            <w:gridSpan w:val="3"/>
          </w:tcPr>
          <w:p w:rsidR="00356148" w:rsidRDefault="005F1E24">
            <w:pPr>
              <w:pStyle w:val="a3"/>
            </w:pPr>
            <w:r>
              <w:t>Изменение за год (%)</w:t>
            </w:r>
          </w:p>
          <w:p w:rsidR="00356148" w:rsidRDefault="005F1E24">
            <w:pPr>
              <w:spacing w:before="40"/>
              <w:jc w:val="center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Год</w:t>
            </w:r>
          </w:p>
        </w:tc>
      </w:tr>
      <w:tr w:rsidR="00356148">
        <w:trPr>
          <w:trHeight w:hRule="exact" w:val="300"/>
        </w:trPr>
        <w:tc>
          <w:tcPr>
            <w:tcW w:w="2880" w:type="dxa"/>
          </w:tcPr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</w:tc>
        <w:tc>
          <w:tcPr>
            <w:tcW w:w="948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1999</w:t>
            </w:r>
          </w:p>
        </w:tc>
        <w:tc>
          <w:tcPr>
            <w:tcW w:w="772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1998</w:t>
            </w:r>
          </w:p>
        </w:tc>
        <w:tc>
          <w:tcPr>
            <w:tcW w:w="92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1999</w:t>
            </w:r>
          </w:p>
        </w:tc>
        <w:tc>
          <w:tcPr>
            <w:tcW w:w="94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2000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  <w:lang w:val="en-US"/>
              </w:rPr>
            </w:pPr>
            <w:r>
              <w:rPr>
                <w:snapToGrid w:val="0"/>
                <w:sz w:val="26"/>
                <w:lang w:val="en-US"/>
              </w:rPr>
              <w:t>1998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1999</w:t>
            </w:r>
          </w:p>
        </w:tc>
        <w:tc>
          <w:tcPr>
            <w:tcW w:w="80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2000</w:t>
            </w:r>
          </w:p>
        </w:tc>
      </w:tr>
      <w:tr w:rsidR="00356148">
        <w:tc>
          <w:tcPr>
            <w:tcW w:w="28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Северная Америка</w:t>
            </w:r>
          </w:p>
        </w:tc>
        <w:tc>
          <w:tcPr>
            <w:tcW w:w="948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23,78</w:t>
            </w:r>
          </w:p>
        </w:tc>
        <w:tc>
          <w:tcPr>
            <w:tcW w:w="772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0,45</w:t>
            </w:r>
          </w:p>
        </w:tc>
        <w:tc>
          <w:tcPr>
            <w:tcW w:w="92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0,63</w:t>
            </w:r>
          </w:p>
        </w:tc>
        <w:tc>
          <w:tcPr>
            <w:tcW w:w="94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0.40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2,0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2,7</w:t>
            </w:r>
          </w:p>
        </w:tc>
        <w:tc>
          <w:tcPr>
            <w:tcW w:w="80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1,7</w:t>
            </w:r>
          </w:p>
        </w:tc>
      </w:tr>
      <w:tr w:rsidR="00356148">
        <w:tc>
          <w:tcPr>
            <w:tcW w:w="28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Европа</w:t>
            </w:r>
          </w:p>
        </w:tc>
        <w:tc>
          <w:tcPr>
            <w:tcW w:w="948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15,96</w:t>
            </w:r>
          </w:p>
        </w:tc>
        <w:tc>
          <w:tcPr>
            <w:tcW w:w="772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0,35</w:t>
            </w:r>
          </w:p>
        </w:tc>
        <w:tc>
          <w:tcPr>
            <w:tcW w:w="92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-0,15</w:t>
            </w:r>
          </w:p>
        </w:tc>
        <w:tc>
          <w:tcPr>
            <w:tcW w:w="94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0,25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2,2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-0.9</w:t>
            </w:r>
          </w:p>
        </w:tc>
        <w:tc>
          <w:tcPr>
            <w:tcW w:w="80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1,6</w:t>
            </w:r>
          </w:p>
        </w:tc>
      </w:tr>
      <w:tr w:rsidR="00356148">
        <w:tc>
          <w:tcPr>
            <w:tcW w:w="28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ОЭСР</w:t>
            </w:r>
          </w:p>
        </w:tc>
        <w:tc>
          <w:tcPr>
            <w:tcW w:w="948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8,68</w:t>
            </w:r>
          </w:p>
        </w:tc>
        <w:tc>
          <w:tcPr>
            <w:tcW w:w="772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-0,53</w:t>
            </w:r>
          </w:p>
        </w:tc>
        <w:tc>
          <w:tcPr>
            <w:tcW w:w="92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0,24</w:t>
            </w:r>
          </w:p>
        </w:tc>
        <w:tc>
          <w:tcPr>
            <w:tcW w:w="94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0.23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-5,9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2,8</w:t>
            </w:r>
          </w:p>
        </w:tc>
        <w:tc>
          <w:tcPr>
            <w:tcW w:w="80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2,6</w:t>
            </w:r>
          </w:p>
        </w:tc>
      </w:tr>
      <w:tr w:rsidR="00356148">
        <w:tc>
          <w:tcPr>
            <w:tcW w:w="28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Тихоокеанский регион</w:t>
            </w:r>
          </w:p>
        </w:tc>
        <w:tc>
          <w:tcPr>
            <w:tcW w:w="948" w:type="dxa"/>
          </w:tcPr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</w:tc>
        <w:tc>
          <w:tcPr>
            <w:tcW w:w="772" w:type="dxa"/>
          </w:tcPr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</w:tc>
        <w:tc>
          <w:tcPr>
            <w:tcW w:w="920" w:type="dxa"/>
          </w:tcPr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</w:tc>
        <w:tc>
          <w:tcPr>
            <w:tcW w:w="940" w:type="dxa"/>
          </w:tcPr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</w:tc>
        <w:tc>
          <w:tcPr>
            <w:tcW w:w="780" w:type="dxa"/>
          </w:tcPr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</w:tc>
        <w:tc>
          <w:tcPr>
            <w:tcW w:w="780" w:type="dxa"/>
          </w:tcPr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</w:tc>
        <w:tc>
          <w:tcPr>
            <w:tcW w:w="800" w:type="dxa"/>
          </w:tcPr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  <w:p w:rsidR="00356148" w:rsidRDefault="00356148">
            <w:pPr>
              <w:spacing w:before="20"/>
              <w:rPr>
                <w:snapToGrid w:val="0"/>
                <w:sz w:val="26"/>
              </w:rPr>
            </w:pPr>
          </w:p>
        </w:tc>
      </w:tr>
      <w:tr w:rsidR="00356148">
        <w:tc>
          <w:tcPr>
            <w:tcW w:w="28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Китай</w:t>
            </w:r>
          </w:p>
        </w:tc>
        <w:tc>
          <w:tcPr>
            <w:tcW w:w="948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4,44</w:t>
            </w:r>
          </w:p>
        </w:tc>
        <w:tc>
          <w:tcPr>
            <w:tcW w:w="772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0,07</w:t>
            </w:r>
          </w:p>
        </w:tc>
        <w:tc>
          <w:tcPr>
            <w:tcW w:w="92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0,29</w:t>
            </w:r>
          </w:p>
        </w:tc>
        <w:tc>
          <w:tcPr>
            <w:tcW w:w="94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0,16i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1,7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7,0</w:t>
            </w:r>
          </w:p>
        </w:tc>
        <w:tc>
          <w:tcPr>
            <w:tcW w:w="80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3,7</w:t>
            </w:r>
          </w:p>
        </w:tc>
      </w:tr>
      <w:tr w:rsidR="00356148">
        <w:tc>
          <w:tcPr>
            <w:tcW w:w="28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Другие страны Азии</w:t>
            </w:r>
          </w:p>
        </w:tc>
        <w:tc>
          <w:tcPr>
            <w:tcW w:w="948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7,20</w:t>
            </w:r>
          </w:p>
        </w:tc>
        <w:tc>
          <w:tcPr>
            <w:tcW w:w="772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0,05</w:t>
            </w:r>
          </w:p>
        </w:tc>
        <w:tc>
          <w:tcPr>
            <w:tcW w:w="92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0.43</w:t>
            </w:r>
          </w:p>
        </w:tc>
        <w:tc>
          <w:tcPr>
            <w:tcW w:w="94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0.35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0,7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6,3</w:t>
            </w:r>
          </w:p>
        </w:tc>
        <w:tc>
          <w:tcPr>
            <w:tcW w:w="80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4,9</w:t>
            </w:r>
          </w:p>
        </w:tc>
      </w:tr>
      <w:tr w:rsidR="00356148">
        <w:tc>
          <w:tcPr>
            <w:tcW w:w="28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Итого – Азия</w:t>
            </w:r>
          </w:p>
        </w:tc>
        <w:tc>
          <w:tcPr>
            <w:tcW w:w="948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20,32</w:t>
            </w:r>
          </w:p>
        </w:tc>
        <w:tc>
          <w:tcPr>
            <w:tcW w:w="772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-0,41</w:t>
            </w:r>
          </w:p>
        </w:tc>
        <w:tc>
          <w:tcPr>
            <w:tcW w:w="92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0.95</w:t>
            </w:r>
          </w:p>
        </w:tc>
        <w:tc>
          <w:tcPr>
            <w:tcW w:w="94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0.74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-2.1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4.9</w:t>
            </w:r>
          </w:p>
        </w:tc>
        <w:tc>
          <w:tcPr>
            <w:tcW w:w="80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3.7</w:t>
            </w:r>
          </w:p>
        </w:tc>
      </w:tr>
      <w:tr w:rsidR="00356148">
        <w:tc>
          <w:tcPr>
            <w:tcW w:w="28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Страны бывшего СССР</w:t>
            </w:r>
          </w:p>
        </w:tc>
        <w:tc>
          <w:tcPr>
            <w:tcW w:w="948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3,96</w:t>
            </w:r>
          </w:p>
        </w:tc>
        <w:tc>
          <w:tcPr>
            <w:tcW w:w="772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-0,19</w:t>
            </w:r>
          </w:p>
        </w:tc>
        <w:tc>
          <w:tcPr>
            <w:tcW w:w="92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-0.12</w:t>
            </w:r>
          </w:p>
        </w:tc>
        <w:tc>
          <w:tcPr>
            <w:tcW w:w="94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0.02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-4,4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-2,8</w:t>
            </w:r>
          </w:p>
        </w:tc>
        <w:tc>
          <w:tcPr>
            <w:tcW w:w="80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0.5</w:t>
            </w:r>
          </w:p>
        </w:tc>
      </w:tr>
      <w:tr w:rsidR="00356148">
        <w:tc>
          <w:tcPr>
            <w:tcW w:w="28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Ближний Восток</w:t>
            </w:r>
          </w:p>
        </w:tc>
        <w:tc>
          <w:tcPr>
            <w:tcW w:w="948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4,21</w:t>
            </w:r>
          </w:p>
        </w:tc>
        <w:tc>
          <w:tcPr>
            <w:tcW w:w="772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0,11</w:t>
            </w:r>
          </w:p>
        </w:tc>
        <w:tc>
          <w:tcPr>
            <w:tcW w:w="92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-0.09</w:t>
            </w:r>
          </w:p>
        </w:tc>
        <w:tc>
          <w:tcPr>
            <w:tcW w:w="94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0,08i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2,6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-2.0</w:t>
            </w:r>
          </w:p>
        </w:tc>
        <w:tc>
          <w:tcPr>
            <w:tcW w:w="80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2,0</w:t>
            </w:r>
          </w:p>
        </w:tc>
      </w:tr>
      <w:tr w:rsidR="00356148">
        <w:tc>
          <w:tcPr>
            <w:tcW w:w="28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Африка</w:t>
            </w:r>
          </w:p>
        </w:tc>
        <w:tc>
          <w:tcPr>
            <w:tcW w:w="948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2.40</w:t>
            </w:r>
          </w:p>
        </w:tc>
        <w:tc>
          <w:tcPr>
            <w:tcW w:w="772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0.05</w:t>
            </w:r>
          </w:p>
        </w:tc>
        <w:tc>
          <w:tcPr>
            <w:tcW w:w="92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0.02</w:t>
            </w:r>
          </w:p>
        </w:tc>
        <w:tc>
          <w:tcPr>
            <w:tcW w:w="94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0.07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2,2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1.0</w:t>
            </w:r>
          </w:p>
        </w:tc>
        <w:tc>
          <w:tcPr>
            <w:tcW w:w="80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2.8</w:t>
            </w:r>
          </w:p>
        </w:tc>
      </w:tr>
      <w:tr w:rsidR="00356148">
        <w:tc>
          <w:tcPr>
            <w:tcW w:w="28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Латинская Америка</w:t>
            </w:r>
          </w:p>
        </w:tc>
        <w:tc>
          <w:tcPr>
            <w:tcW w:w="948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4.65</w:t>
            </w:r>
          </w:p>
        </w:tc>
        <w:tc>
          <w:tcPr>
            <w:tcW w:w="772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0.20</w:t>
            </w:r>
          </w:p>
        </w:tc>
        <w:tc>
          <w:tcPr>
            <w:tcW w:w="92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0.03</w:t>
            </w:r>
          </w:p>
        </w:tc>
        <w:tc>
          <w:tcPr>
            <w:tcW w:w="94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0,11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4.5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0,8</w:t>
            </w:r>
          </w:p>
        </w:tc>
        <w:tc>
          <w:tcPr>
            <w:tcW w:w="80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2,3</w:t>
            </w:r>
          </w:p>
        </w:tc>
      </w:tr>
      <w:tr w:rsidR="00356148">
        <w:tc>
          <w:tcPr>
            <w:tcW w:w="28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Во всем мире</w:t>
            </w:r>
          </w:p>
        </w:tc>
        <w:tc>
          <w:tcPr>
            <w:tcW w:w="948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75,28</w:t>
            </w:r>
          </w:p>
        </w:tc>
        <w:tc>
          <w:tcPr>
            <w:tcW w:w="772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0.56</w:t>
            </w:r>
          </w:p>
        </w:tc>
        <w:tc>
          <w:tcPr>
            <w:tcW w:w="92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1,29</w:t>
            </w:r>
          </w:p>
        </w:tc>
        <w:tc>
          <w:tcPr>
            <w:tcW w:w="94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1.66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0,8</w:t>
            </w:r>
          </w:p>
        </w:tc>
        <w:tc>
          <w:tcPr>
            <w:tcW w:w="78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1.7</w:t>
            </w:r>
          </w:p>
        </w:tc>
        <w:tc>
          <w:tcPr>
            <w:tcW w:w="800" w:type="dxa"/>
          </w:tcPr>
          <w:p w:rsidR="00356148" w:rsidRDefault="005F1E24">
            <w:pPr>
              <w:spacing w:before="20"/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2.2</w:t>
            </w:r>
          </w:p>
        </w:tc>
      </w:tr>
    </w:tbl>
    <w:p w:rsidR="00356148" w:rsidRDefault="00356148">
      <w:pPr>
        <w:spacing w:before="20"/>
        <w:rPr>
          <w:snapToGrid w:val="0"/>
          <w:sz w:val="26"/>
        </w:rPr>
      </w:pPr>
    </w:p>
    <w:p w:rsidR="00356148" w:rsidRDefault="005F1E24">
      <w:pPr>
        <w:spacing w:before="460" w:line="340" w:lineRule="auto"/>
        <w:ind w:firstLine="700"/>
        <w:rPr>
          <w:snapToGrid w:val="0"/>
          <w:sz w:val="26"/>
        </w:rPr>
      </w:pPr>
      <w:r>
        <w:rPr>
          <w:snapToGrid w:val="0"/>
          <w:sz w:val="26"/>
        </w:rPr>
        <w:t>По предварительным оценкам в январе внутриконтинентальные поставки на восьми главных рынках ОЭСР упали в среднем на 0,5%, отражая ожидаемое затишье после их роста в прошлом месяце на 2.6%. В Японии рост объема поставок в декабре на 9,5% сменился падением в январе на 7.9%, что, по-видимому, явилось результатом значительного накопления запасов впредверии 2000 года и последующего их изъятия.</w:t>
      </w:r>
    </w:p>
    <w:p w:rsidR="00356148" w:rsidRDefault="005F1E24">
      <w:pPr>
        <w:spacing w:before="240" w:line="340" w:lineRule="auto"/>
        <w:ind w:firstLine="720"/>
        <w:rPr>
          <w:snapToGrid w:val="0"/>
          <w:sz w:val="26"/>
        </w:rPr>
      </w:pPr>
      <w:r>
        <w:rPr>
          <w:snapToGrid w:val="0"/>
          <w:sz w:val="26"/>
        </w:rPr>
        <w:t>Согласно последним прогнозам мировой спрос на нефть в первом квартале составит в среднем 76,8 млн. баррелей в день (на 400 тыс. баррелей в день ниже по сравнению с предыдущим отчетом благодаря расходованию запасов, сделанных в преддверии 2000 года, погоде и высоким ценам), затем во втором квартале он упадет на 1,5 млн. баррелей в день до 73,5 млн. баррелей в день. Это падение будет меньше обычного не только потому, что спрос в первом квартале был подавлен, но и потому, что мир (особенно Азия) переживает экономическое возрождение, подтягивая за собой спрос на нефть во втором квартале.</w:t>
      </w:r>
    </w:p>
    <w:p w:rsidR="00356148" w:rsidRDefault="00356148">
      <w:pPr>
        <w:spacing w:before="240" w:line="340" w:lineRule="auto"/>
        <w:ind w:firstLine="720"/>
        <w:rPr>
          <w:snapToGrid w:val="0"/>
          <w:sz w:val="26"/>
        </w:rPr>
      </w:pPr>
    </w:p>
    <w:p w:rsidR="00356148" w:rsidRDefault="005F1E24">
      <w:pPr>
        <w:numPr>
          <w:ilvl w:val="0"/>
          <w:numId w:val="7"/>
        </w:numPr>
        <w:rPr>
          <w:snapToGrid w:val="0"/>
          <w:sz w:val="30"/>
        </w:rPr>
      </w:pPr>
      <w:r>
        <w:rPr>
          <w:snapToGrid w:val="0"/>
          <w:sz w:val="30"/>
        </w:rPr>
        <w:t>Западная Европа</w:t>
      </w:r>
    </w:p>
    <w:p w:rsidR="00356148" w:rsidRDefault="005F1E24">
      <w:pPr>
        <w:spacing w:before="240" w:line="340" w:lineRule="auto"/>
        <w:ind w:firstLine="720"/>
        <w:rPr>
          <w:snapToGrid w:val="0"/>
          <w:sz w:val="26"/>
        </w:rPr>
      </w:pPr>
      <w:r>
        <w:rPr>
          <w:snapToGrid w:val="0"/>
          <w:sz w:val="26"/>
        </w:rPr>
        <w:t>Спрос на нефть в прошлом году в европейских странах ОЭСР упал на 170 тыс. баррелей в день (1,1%). Заметно сократился спрос на нефтехимическое сырье (сжиженные природный газ и нафта) в европейской четверке (Франция, Германия, Италия и Великобритания), на "прочие газойли" (в основном, на бытовое топливо в Германии) и на мазут, особенно в Италии. Если в первых двух случаях наблюдается поворот назад в обычных циклах, то в последнем случае отражается углубление установившейся тенденции Циклы изменения спроса на сырье для нефтехимии и немецкое бытовое топливо предполагают восстановление спроса в 2000 т на среднюю величину 220 тыс. баррелей в день или 1,5%</w:t>
      </w:r>
    </w:p>
    <w:p w:rsidR="00356148" w:rsidRDefault="005F1E24">
      <w:pPr>
        <w:spacing w:line="340" w:lineRule="auto"/>
        <w:ind w:firstLine="720"/>
        <w:rPr>
          <w:snapToGrid w:val="0"/>
          <w:sz w:val="26"/>
        </w:rPr>
      </w:pPr>
      <w:r>
        <w:rPr>
          <w:snapToGrid w:val="0"/>
          <w:sz w:val="26"/>
        </w:rPr>
        <w:t>Спрос на нефтехимическое сырье значительно меняется из года в год не только потому, что производители продуктов нефтехимии могут легко переключаться с нефти на природный газ в соответствии с ценами, но также и потому, что нефтехимическая отрасль сама проходит через периоды роста и спада Недавний откат европейского спроса является, по-видимому, частью обычного нефтехимического цикла.</w:t>
      </w:r>
    </w:p>
    <w:p w:rsidR="00356148" w:rsidRDefault="005F1E24">
      <w:pPr>
        <w:spacing w:line="340" w:lineRule="auto"/>
        <w:ind w:firstLine="720"/>
        <w:rPr>
          <w:snapToGrid w:val="0"/>
          <w:sz w:val="26"/>
        </w:rPr>
      </w:pPr>
      <w:r>
        <w:rPr>
          <w:snapToGrid w:val="0"/>
          <w:sz w:val="26"/>
        </w:rPr>
        <w:t>В Германии поставки "прочих газойлей" упали на 110 тыс. баррелей в день. Однако последнее десятилетие было свидетелем огромных скачков от года к году в поставках газойля в Германию, которые сильно превышали изменения, связанные с погодой Большинство немецких потребителей имеют достаточно большие хранилища топливной нефти, где они держат запасы на несколько зим, создавая себе большую свободу в выборе времени закупок. В прошлом году немецкие потребители израсходовали запасы почти до уровня конца 1996 г, создав предпосылки для восстановления спроса в 2000 г.</w:t>
      </w:r>
    </w:p>
    <w:p w:rsidR="00356148" w:rsidRDefault="005F1E24">
      <w:pPr>
        <w:spacing w:before="240" w:line="340" w:lineRule="auto"/>
        <w:ind w:firstLine="720"/>
        <w:rPr>
          <w:snapToGrid w:val="0"/>
          <w:sz w:val="26"/>
        </w:rPr>
      </w:pPr>
      <w:r>
        <w:rPr>
          <w:snapToGrid w:val="0"/>
          <w:sz w:val="26"/>
        </w:rPr>
        <w:t>С 1991 по 1997 годы спрос на мазут в европейской зоне ОЭСР падал в среднем на 30 тыс. баррелей в день каждый год. Низкие цены на нефть замедлили этот спад всего до 2 тыс., баррелей в день, но новый рост цен в 1999 г ускорил падение до 110 тыс. баррелей в день, из которых 70 тыс. баррелей в день пришлись только на Италию. Отклонение от существующих тенденций, проявившиеся в 1999 г, предполагает возникновение новых, более глубоких спадов спроса, вероятно, связанных с созданием рынков электроэнергии и увеличением использования природного и сжиженного природного газов для производства электроэнергии.</w:t>
      </w:r>
    </w:p>
    <w:p w:rsidR="00356148" w:rsidRDefault="00356148">
      <w:pPr>
        <w:spacing w:before="240" w:line="340" w:lineRule="auto"/>
        <w:ind w:firstLine="720"/>
        <w:rPr>
          <w:snapToGrid w:val="0"/>
          <w:sz w:val="26"/>
        </w:rPr>
      </w:pPr>
    </w:p>
    <w:p w:rsidR="00356148" w:rsidRDefault="005F1E24">
      <w:pPr>
        <w:pStyle w:val="2"/>
        <w:numPr>
          <w:ilvl w:val="0"/>
          <w:numId w:val="6"/>
        </w:numPr>
        <w:rPr>
          <w:sz w:val="32"/>
        </w:rPr>
      </w:pPr>
      <w:r>
        <w:rPr>
          <w:sz w:val="32"/>
        </w:rPr>
        <w:t>Предложение на рынке нефти</w:t>
      </w:r>
    </w:p>
    <w:p w:rsidR="00356148" w:rsidRDefault="005F1E24">
      <w:pPr>
        <w:pStyle w:val="2"/>
        <w:numPr>
          <w:ilvl w:val="0"/>
          <w:numId w:val="8"/>
        </w:numPr>
        <w:rPr>
          <w:sz w:val="30"/>
        </w:rPr>
      </w:pPr>
      <w:r>
        <w:rPr>
          <w:sz w:val="30"/>
        </w:rPr>
        <w:t>Общий обзор</w:t>
      </w:r>
    </w:p>
    <w:p w:rsidR="00356148" w:rsidRDefault="005F1E24">
      <w:pPr>
        <w:spacing w:before="240" w:line="340" w:lineRule="auto"/>
        <w:rPr>
          <w:snapToGrid w:val="0"/>
          <w:sz w:val="26"/>
        </w:rPr>
      </w:pPr>
      <w:r>
        <w:rPr>
          <w:snapToGrid w:val="0"/>
          <w:sz w:val="26"/>
        </w:rPr>
        <w:t>По предварительным оценкам в феврале мировой объем добычи нефти составил 75 млн. баррелей в день, увеличившись с января на 250 тыс. баррелей в день. Добыча в странах, не входящих в ОПЕК, упала на 290 тыс. баррелей в день, но ОПЕК более чем возместил разницу, прибавив 540 тыс. баррелей в день. Более двух третей прироста в ОПЕК объясняется более высокими поставками нефти из Ирака.</w:t>
      </w:r>
    </w:p>
    <w:p w:rsidR="00356148" w:rsidRDefault="005F1E24">
      <w:pPr>
        <w:spacing w:before="260" w:line="340" w:lineRule="auto"/>
        <w:rPr>
          <w:snapToGrid w:val="0"/>
          <w:sz w:val="26"/>
        </w:rPr>
      </w:pPr>
      <w:r>
        <w:rPr>
          <w:snapToGrid w:val="0"/>
          <w:sz w:val="26"/>
        </w:rPr>
        <w:t>Поставки сырой нефти из стран ОПЕК в феврале выросли до 26,6 млн. баррелей в день. Хотя экспорт из Ирака резко различался от недели к неделе, все же за месяц, в целом, он вырос на 375 тыс. баррелей в день. Добыча в Ираке достигла самого высокого уровня с октября прошлого года. Добыча нефти в Нигерии набрала заметные 110 тыс. баррелей в день, так как продолжающиеся общественные беспорядки мало влияли на работу нефтяной отрасли. Добыча сырой нефти в других странах - членах ОПЕК выросла, в целом, на 50 тыс. баррелей в день, при этом больше всего в странах Ближнего Востока. Для ОПЕК, за исключением Ирака, общее сокращение объема добычи на 3,23 млн. баррелей в день в феврале. Поставки нефти из стран, не входящих в ОПЕК, упали до 45,6 млн. баррелей в день в феврале. Поставки из стран ОЭСР по прогнозам упали на 160 тыс. баррелей в день, целиком благодаря Мексике. Полагают, что вслед за удивительно резким увеличением добыча должна упасть назад к более низкому уровню, который наблюдался в последние месяцы. Общий объем добычи в Северном море изменился мало, так как Норвегия восстановила уровень добычи после январских штормов, а Великобритания и Дания сократили добычу. Поставки из США, Канады и Австралии не изменились. Добыча нефти в странах, не входящих в ОЭСР, снизилась на 130 тыс. баррелей в день. Большая часть спада пришлась на вьетнамское морское месторождение Бах Хо, где из-за плохой погоды были повреждены грузовые терминалы. Добыча нефти согласно прогнозам также снизилась и в Китае.</w:t>
      </w:r>
    </w:p>
    <w:p w:rsidR="00356148" w:rsidRDefault="005F1E24">
      <w:pPr>
        <w:spacing w:before="240" w:line="340" w:lineRule="auto"/>
        <w:rPr>
          <w:snapToGrid w:val="0"/>
          <w:sz w:val="26"/>
        </w:rPr>
      </w:pPr>
      <w:r>
        <w:rPr>
          <w:snapToGrid w:val="0"/>
          <w:sz w:val="26"/>
        </w:rPr>
        <w:t>Чистый экспорт из стран бывшего СССР составил 3,8 млн. баррелей в день в феврале, то есть вырос на 130 тыс. баррелей вдень по сравнению с предыдущим месяцем из-за усиленного экспорта сырой нефти по трубопроводу "Дружба". В противоположность обычной сезонной картине февральский экспорт сравнялся с рекордными уровнями прошлого лета. Несколько факторов привели к такому всплеску, в том числе нужда российского правительства в налоговых поступлениях для финансирования военных действий в Чечне, ослабление экспортных ограничений и более высокие международные цены на экспортируемые сырую нефть и нефтепродукты.</w:t>
      </w:r>
    </w:p>
    <w:p w:rsidR="00356148" w:rsidRDefault="005F1E24">
      <w:pPr>
        <w:spacing w:before="240" w:line="340" w:lineRule="auto"/>
        <w:ind w:firstLine="720"/>
        <w:rPr>
          <w:snapToGrid w:val="0"/>
          <w:sz w:val="26"/>
        </w:rPr>
      </w:pPr>
      <w:r>
        <w:rPr>
          <w:snapToGrid w:val="0"/>
          <w:sz w:val="26"/>
        </w:rPr>
        <w:t>«Спрос на нефть ОПЕК плюс изменение запасов» на этот год были пересмотрены в сторону понижения на умеренные 0,1 млн. баррелей в день до 28,5 млн. баррелей в день благодаря более низкому прогнозируемому мировому спросу. Прогнозируемые поставки из стран, не входящих в ОПЕК, были оставлены без изменений на уровне 46,6 млн. баррелей в день, характеризуя рост на 1,0 млн. баррелей в день по сравнению с прошлым годом.</w:t>
      </w:r>
    </w:p>
    <w:p w:rsidR="00356148" w:rsidRDefault="005F1E24">
      <w:pPr>
        <w:spacing w:before="240" w:line="340" w:lineRule="auto"/>
        <w:ind w:firstLine="720"/>
        <w:rPr>
          <w:snapToGrid w:val="0"/>
          <w:sz w:val="26"/>
        </w:rPr>
      </w:pPr>
      <w:r>
        <w:rPr>
          <w:i/>
          <w:snapToGrid w:val="0"/>
          <w:sz w:val="26"/>
          <w:u w:val="single"/>
        </w:rPr>
        <w:t>Примечание:</w:t>
      </w:r>
      <w:r>
        <w:rPr>
          <w:snapToGrid w:val="0"/>
          <w:sz w:val="26"/>
        </w:rPr>
        <w:t xml:space="preserve"> Разнообразные события создают риск понижения для представленных в этом обзоре цифр добычи нефти в странах, не входящих в ОПЕК. Этими событиями</w:t>
      </w:r>
      <w:r>
        <w:rPr>
          <w:snapToGrid w:val="0"/>
          <w:sz w:val="26"/>
          <w:lang w:val="en-US"/>
        </w:rPr>
        <w:t xml:space="preserve"> мог</w:t>
      </w:r>
      <w:r>
        <w:rPr>
          <w:snapToGrid w:val="0"/>
          <w:sz w:val="26"/>
        </w:rPr>
        <w:t>ут стать аварии, незапланированные или необъявленные ремонты, технические проблемы, забастовки, политические волнения, партизанская деятельность, войны, потери добычи в результате непогоды. В прогнозе объема добычи неблагоприятное влияние незапланированных событий никак не учитывается. Несмотря на возможность изменения в сторону повышения, опыт последних лег показывает, что для стран, не входящих в ОПЕК, перечисленные выше случайные события, по приблизительным оценкам, могут привести к потере ежегодно около 100-300 тысяч баррелей в день.</w:t>
      </w:r>
    </w:p>
    <w:p w:rsidR="00356148" w:rsidRDefault="00356148">
      <w:pPr>
        <w:spacing w:before="240" w:line="340" w:lineRule="auto"/>
        <w:ind w:firstLine="720"/>
        <w:rPr>
          <w:snapToGrid w:val="0"/>
          <w:sz w:val="26"/>
        </w:rPr>
      </w:pPr>
    </w:p>
    <w:p w:rsidR="00356148" w:rsidRDefault="005F1E24">
      <w:pPr>
        <w:numPr>
          <w:ilvl w:val="0"/>
          <w:numId w:val="8"/>
        </w:numPr>
        <w:rPr>
          <w:snapToGrid w:val="0"/>
          <w:sz w:val="30"/>
        </w:rPr>
      </w:pPr>
      <w:r>
        <w:rPr>
          <w:snapToGrid w:val="0"/>
          <w:sz w:val="30"/>
        </w:rPr>
        <w:t>Западная Европа</w:t>
      </w:r>
    </w:p>
    <w:p w:rsidR="00356148" w:rsidRDefault="005F1E24">
      <w:pPr>
        <w:spacing w:before="260" w:line="340" w:lineRule="auto"/>
        <w:rPr>
          <w:snapToGrid w:val="0"/>
          <w:sz w:val="26"/>
        </w:rPr>
      </w:pPr>
      <w:r>
        <w:rPr>
          <w:snapToGrid w:val="0"/>
          <w:sz w:val="26"/>
        </w:rPr>
        <w:t>Великобритания - декабрьские фактические, январские и февральские оценочные показатели: Добыча сырой нефти в декабре упала на 75 тыс. баррелей в день до 2,61 млн. баррелей в день. Большая часть падения добычи пришлась на сорт нефти</w:t>
      </w:r>
      <w:r>
        <w:rPr>
          <w:snapToGrid w:val="0"/>
          <w:sz w:val="26"/>
          <w:lang w:val="en-US"/>
        </w:rPr>
        <w:t xml:space="preserve"> Forties System, </w:t>
      </w:r>
      <w:r>
        <w:rPr>
          <w:snapToGrid w:val="0"/>
          <w:sz w:val="26"/>
        </w:rPr>
        <w:t>добыча которого упала на 3! тыс. баррелей в день, а также на морские месторождения, где добыча снизилась на 182 тыс. баррелей в день. На многопластовом месторождении Итап добыча сырой нефти сорта</w:t>
      </w:r>
      <w:r>
        <w:rPr>
          <w:snapToGrid w:val="0"/>
          <w:sz w:val="26"/>
          <w:lang w:val="en-US"/>
        </w:rPr>
        <w:t xml:space="preserve"> Forties System</w:t>
      </w:r>
      <w:r>
        <w:rPr>
          <w:snapToGrid w:val="0"/>
          <w:sz w:val="26"/>
        </w:rPr>
        <w:t xml:space="preserve"> выросла на 25 тыс. баррелей в день до нового рекордного уровня в182 тыс. баррелей в день. Однако в середине месяца разрыв трубопровода приостановил добычу на месторождении Эрскин и снизил ее на ряде других месторождений, более чем компенсировав прирост добычи на Итап. Из-за плохих погодных условий была сокращена добыча на некоторых морских месторождениях, а на месторождении Банфф она пострадала из-за аварии грузовой системы</w:t>
      </w:r>
    </w:p>
    <w:p w:rsidR="00356148" w:rsidRDefault="00356148">
      <w:pPr>
        <w:spacing w:before="260" w:line="340" w:lineRule="auto"/>
        <w:rPr>
          <w:snapToGrid w:val="0"/>
          <w:sz w:val="26"/>
        </w:rPr>
      </w:pPr>
    </w:p>
    <w:p w:rsidR="00356148" w:rsidRDefault="005F1E24">
      <w:pPr>
        <w:spacing w:before="140" w:line="340" w:lineRule="auto"/>
        <w:rPr>
          <w:snapToGrid w:val="0"/>
          <w:sz w:val="26"/>
        </w:rPr>
      </w:pPr>
      <w:r>
        <w:rPr>
          <w:snapToGrid w:val="0"/>
          <w:sz w:val="26"/>
        </w:rPr>
        <w:t>Согласно оценкам, в январе добыча сырой нефти, оставалась практически без изменений на уровне 2,62 млн. баррелей в день и немного упала в феврале до 2,58 млн. баррелей в день. 22 тыс. баррелей в день, добываемые на месторождении Эрскин, были заперты в течение двух месяцев, поскольку причина разрыва трубопровода не была выяснена. Ремонтные работы на месторождении Банфф были закончены в середине января, и в феврале добыча должна вернуться к обычному уровню 40 тыс. баррелей в день. Добыча на комплексе Ливерпуль-Бэй с объемом 40 тыс, баррелей в день была остановлена на неделю в конце января - начале февраля после столкновения разгрузочного судна с платформой. На месторождении Файф/Фергус/Флора производительностью 37 тыс. баррелей в день почти на две недели была прекращена добыча из-за проводимых там ремонтных работ. На десять дней было выведено из эксплуатации месторождение Пирс в связи плановыми работами по увеличению объема добычи с 54 тыс. баррелей в день до 65 тыс. баррелей в день, хотя фактический объем добычи здесь никогда не превышал 47 тыс. баррелей в день. Газоконденсатные месторождения Элжин, Франклин и Шируотер с аномально высокими температурами и пластовыми давлениями должны вступить в строй в октябре и ноябре этого года. Ранее их ввод был запланирован на май, июль и ноябрь. Суммарная добыча на этих трех месторождениях должна достигнуть устойчивого уровня в 230 тыс. баррелей в день Норвегия - февральские оценочные показатели: В феврале добыча сырой нефти, прибавив согласно оценкам 72 тыс. баррелей в день, составила 3,36 млн. баррелей в день, то есть вернулась на прежний уровень после суровых зимних штормов, послуживших причиной ее падения в январе. Прирост обеспечили месторождения в районе Халтенбакен. Драуген, Аасгард и Норне, где в январе сильные ветры и волны привели к сокращению или полной временной остановке добычи. Плохая погода также отрицательно сказалась и на добыче на месторождениях, снабжающих оффшорные грузовые терминалы Статфьорд и Галлфакс. В последнюю неделю февраля и в первую неделю марта здесь снова возникли проблемы с погодой. Согласно оценкам суммарная прибавка на 50 тыс. баррелей в день в Статфьорд и Галлфакс в феврале не позволила добычи восстановиться до нормального уровня. Хотя, в принципе, это обычная корректировка расчетных показателей уровня добычи, характерная для первого квартала, когда плохая зимняя погода сильно ударяет по добыче. В первую неделю марта сократилась добыча на месторождении Драуген.</w:t>
      </w:r>
    </w:p>
    <w:p w:rsidR="00356148" w:rsidRDefault="005F1E24">
      <w:pPr>
        <w:spacing w:line="340" w:lineRule="auto"/>
        <w:ind w:firstLine="760"/>
        <w:rPr>
          <w:snapToGrid w:val="0"/>
          <w:sz w:val="26"/>
        </w:rPr>
      </w:pPr>
      <w:r>
        <w:rPr>
          <w:snapToGrid w:val="0"/>
          <w:sz w:val="26"/>
        </w:rPr>
        <w:t>4 февраля началась добыча нефти из структуры Омега Норт, являющейся частью месторождения Осеберг Сзут. Начальный объем добычи здесь составил 20 тыс. баррелей в день. На данном этапе нефть направляется прямо в существующий центр Осеберг. Главная часть месторождения Осеберг Саут должна быть введена в эксплуатацию в сентябре и будет иметь свою новую платформу. Осенью после ее пуска добыча вырастет с существующего уровня до120 тыс. баррелей в день.</w:t>
      </w:r>
    </w:p>
    <w:p w:rsidR="00356148" w:rsidRDefault="005F1E24">
      <w:pPr>
        <w:spacing w:before="240" w:line="340" w:lineRule="auto"/>
        <w:ind w:firstLine="720"/>
        <w:rPr>
          <w:snapToGrid w:val="0"/>
          <w:sz w:val="26"/>
        </w:rPr>
      </w:pPr>
      <w:r>
        <w:rPr>
          <w:snapToGrid w:val="0"/>
          <w:sz w:val="26"/>
        </w:rPr>
        <w:t>Дания - январские фактические» февральские оценочные показатели: В январе добыча сырой нефти выросла на 15 тыс. баррелей в день до рекордных 361 тыс. баррелей. Поставки из Саут Арне выросли на 11 тыс., баррелей в день до 53 тыс. баррелей в день, достигнув самого высокого уровня с момента ввода в эксплуатацию в июле 1999 г. Добыча на месторождении Сири восстановилась до 43 тыс. баррелей в день после технических неполадок с морским грузовым терминалом, послуживших причиной ее огра</w:t>
      </w:r>
      <w:r>
        <w:rPr>
          <w:snapToGrid w:val="0"/>
          <w:sz w:val="26"/>
        </w:rPr>
        <w:softHyphen/>
        <w:t>ничения в декабре до 33 тыс., баррелей в день. В феврале на Сири снова возникли трудности. Так 16 числа на месторождении была обнаружена утечка из нефтепровода, вызвавшая двухнедельный перебой в работе. Суммарная добыча в феврале упала согласно оценкам на 29 тыс. баррелей в день, причем 19 тыс. баррелей в день пришлось на Сири, а остальное количество распределилось между другими месторождениями.</w:t>
      </w: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spacing w:before="280"/>
        <w:rPr>
          <w:snapToGrid w:val="0"/>
          <w:sz w:val="26"/>
        </w:rPr>
      </w:pPr>
    </w:p>
    <w:p w:rsidR="00356148" w:rsidRDefault="00356148">
      <w:pPr>
        <w:rPr>
          <w:sz w:val="26"/>
        </w:rPr>
      </w:pPr>
    </w:p>
    <w:p w:rsidR="00356148" w:rsidRDefault="005F1E24">
      <w:pPr>
        <w:pStyle w:val="5"/>
      </w:pPr>
      <w:r>
        <w:t>Список использованной литературы</w:t>
      </w:r>
    </w:p>
    <w:p w:rsidR="00356148" w:rsidRDefault="00356148">
      <w:pPr>
        <w:jc w:val="center"/>
        <w:rPr>
          <w:sz w:val="32"/>
        </w:rPr>
      </w:pPr>
    </w:p>
    <w:p w:rsidR="00356148" w:rsidRDefault="005F1E24">
      <w:pPr>
        <w:rPr>
          <w:sz w:val="28"/>
        </w:rPr>
      </w:pPr>
      <w:r>
        <w:rPr>
          <w:sz w:val="28"/>
        </w:rPr>
        <w:t>Мировой рынок нефти, ежемесячный аналитический обзор, май 2000г.</w:t>
      </w:r>
      <w:bookmarkStart w:id="0" w:name="_GoBack"/>
      <w:bookmarkEnd w:id="0"/>
    </w:p>
    <w:sectPr w:rsidR="00356148">
      <w:pgSz w:w="12240" w:h="15840"/>
      <w:pgMar w:top="1361" w:right="1418" w:bottom="1361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931C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AB3206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13D7FF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EA37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5154D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C8B1BB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882179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7D770C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E24"/>
    <w:rsid w:val="00356148"/>
    <w:rsid w:val="005F1E24"/>
    <w:rsid w:val="0060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02AED-3B27-4D6F-B6D5-BDD16E24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540" w:lineRule="auto"/>
      <w:outlineLvl w:val="0"/>
    </w:pPr>
    <w:rPr>
      <w:snapToGrid w:val="0"/>
      <w:sz w:val="26"/>
    </w:rPr>
  </w:style>
  <w:style w:type="paragraph" w:styleId="2">
    <w:name w:val="heading 2"/>
    <w:basedOn w:val="a"/>
    <w:next w:val="a"/>
    <w:qFormat/>
    <w:pPr>
      <w:keepNext/>
      <w:spacing w:line="600" w:lineRule="auto"/>
      <w:outlineLvl w:val="1"/>
    </w:pPr>
    <w:rPr>
      <w:b/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napToGrid w:val="0"/>
      <w:sz w:val="36"/>
    </w:rPr>
  </w:style>
  <w:style w:type="paragraph" w:styleId="4">
    <w:name w:val="heading 4"/>
    <w:basedOn w:val="a"/>
    <w:next w:val="a"/>
    <w:qFormat/>
    <w:pPr>
      <w:keepNext/>
      <w:outlineLvl w:val="3"/>
    </w:pPr>
    <w:rPr>
      <w:snapToGrid w:val="0"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before="40"/>
      <w:jc w:val="center"/>
    </w:pPr>
    <w:rPr>
      <w:snapToGrid w:val="0"/>
      <w:sz w:val="26"/>
    </w:rPr>
  </w:style>
  <w:style w:type="paragraph" w:styleId="20">
    <w:name w:val="Body Text 2"/>
    <w:basedOn w:val="a"/>
    <w:semiHidden/>
    <w:pPr>
      <w:spacing w:before="260" w:line="340" w:lineRule="auto"/>
    </w:pPr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Университет Нефти и Газа им</vt:lpstr>
    </vt:vector>
  </TitlesOfParts>
  <Company> </Company>
  <LinksUpToDate>false</LinksUpToDate>
  <CharactersWithSpaces>14988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Университет Нефти и Газа им</dc:title>
  <dc:subject/>
  <dc:creator>Saltykova A.A.</dc:creator>
  <cp:keywords/>
  <cp:lastModifiedBy>admin</cp:lastModifiedBy>
  <cp:revision>2</cp:revision>
  <dcterms:created xsi:type="dcterms:W3CDTF">2014-02-03T09:41:00Z</dcterms:created>
  <dcterms:modified xsi:type="dcterms:W3CDTF">2014-02-03T09:41:00Z</dcterms:modified>
</cp:coreProperties>
</file>