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D91" w:rsidRPr="00F74744" w:rsidRDefault="00EA5D91" w:rsidP="00C35783">
      <w:pPr>
        <w:pStyle w:val="2"/>
        <w:keepNext w:val="0"/>
        <w:pBdr>
          <w:top w:val="none" w:sz="0" w:space="0" w:color="auto"/>
        </w:pBdr>
        <w:spacing w:line="360" w:lineRule="auto"/>
        <w:ind w:firstLine="709"/>
        <w:jc w:val="both"/>
        <w:rPr>
          <w:b/>
          <w:color w:val="000000"/>
          <w:sz w:val="28"/>
          <w:szCs w:val="28"/>
        </w:rPr>
      </w:pPr>
      <w:r w:rsidRPr="00F74744">
        <w:rPr>
          <w:b/>
          <w:color w:val="000000"/>
          <w:sz w:val="28"/>
          <w:szCs w:val="28"/>
        </w:rPr>
        <w:t>Доходы бюджетов бюджетной системы РФ</w:t>
      </w:r>
    </w:p>
    <w:p w:rsidR="00EA5D91" w:rsidRPr="0074683C" w:rsidRDefault="0074683C" w:rsidP="00C35783">
      <w:pPr>
        <w:autoSpaceDE w:val="0"/>
        <w:autoSpaceDN w:val="0"/>
        <w:adjustRightInd w:val="0"/>
        <w:spacing w:line="360" w:lineRule="auto"/>
        <w:ind w:firstLine="709"/>
        <w:jc w:val="both"/>
        <w:rPr>
          <w:color w:val="FFFFFF"/>
          <w:sz w:val="28"/>
          <w:szCs w:val="28"/>
        </w:rPr>
      </w:pPr>
      <w:r w:rsidRPr="0074683C">
        <w:rPr>
          <w:color w:val="FFFFFF"/>
          <w:sz w:val="28"/>
          <w:szCs w:val="28"/>
        </w:rPr>
        <w:t>бюджет доход налог власть</w:t>
      </w:r>
    </w:p>
    <w:p w:rsidR="00C35783" w:rsidRDefault="00EA5D91" w:rsidP="00C35783">
      <w:pPr>
        <w:autoSpaceDE w:val="0"/>
        <w:autoSpaceDN w:val="0"/>
        <w:adjustRightInd w:val="0"/>
        <w:spacing w:line="360" w:lineRule="auto"/>
        <w:ind w:firstLine="709"/>
        <w:jc w:val="both"/>
        <w:rPr>
          <w:color w:val="000000"/>
          <w:sz w:val="28"/>
          <w:szCs w:val="28"/>
        </w:rPr>
      </w:pPr>
      <w:r w:rsidRPr="0074683C">
        <w:rPr>
          <w:color w:val="000000"/>
          <w:sz w:val="28"/>
          <w:szCs w:val="28"/>
        </w:rPr>
        <w:t>Доходы бюджета</w:t>
      </w:r>
      <w:r w:rsidR="00C35783">
        <w:rPr>
          <w:color w:val="000000"/>
          <w:sz w:val="28"/>
          <w:szCs w:val="28"/>
        </w:rPr>
        <w:t xml:space="preserve"> </w:t>
      </w:r>
      <w:r w:rsidRPr="00C35783">
        <w:rPr>
          <w:color w:val="000000"/>
          <w:sz w:val="28"/>
          <w:szCs w:val="28"/>
        </w:rPr>
        <w:t>представляют собой денежные средства, поступающие в бюджеты органов государственной власти и органов местного самоуправления в безвозмездном и безвозвратном порядке, в соответствии с действующим законодательством.</w:t>
      </w:r>
    </w:p>
    <w:p w:rsid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Построение системы доходов бюджетов осуществляется в соответствии с определенными требованиями, которым она должна удовлетворять:</w:t>
      </w:r>
    </w:p>
    <w:p w:rsidR="00C35783" w:rsidRDefault="00EA5D91" w:rsidP="00C35783">
      <w:pPr>
        <w:numPr>
          <w:ilvl w:val="0"/>
          <w:numId w:val="3"/>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достаточности доходов, как условия выполнения функций и задач, возложенных на органы государственной власти и органы местного самоуправления;</w:t>
      </w:r>
    </w:p>
    <w:p w:rsidR="00C35783" w:rsidRDefault="00EA5D91" w:rsidP="00C35783">
      <w:pPr>
        <w:numPr>
          <w:ilvl w:val="0"/>
          <w:numId w:val="3"/>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стабильности поступления доходов в бюджетную систему, как условия устойчивого и эффективного функционирования бюджетной системы в составе финансовой системы государства;</w:t>
      </w:r>
    </w:p>
    <w:p w:rsidR="00EA5D91" w:rsidRPr="00C35783" w:rsidRDefault="00EA5D91" w:rsidP="00C35783">
      <w:pPr>
        <w:numPr>
          <w:ilvl w:val="0"/>
          <w:numId w:val="3"/>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соответствия форм</w:t>
      </w:r>
      <w:r w:rsidR="00C35783">
        <w:rPr>
          <w:color w:val="000000"/>
          <w:sz w:val="28"/>
          <w:szCs w:val="28"/>
        </w:rPr>
        <w:t xml:space="preserve"> </w:t>
      </w:r>
      <w:r w:rsidRPr="00C35783">
        <w:rPr>
          <w:color w:val="000000"/>
          <w:sz w:val="28"/>
          <w:szCs w:val="28"/>
        </w:rPr>
        <w:t>изъятия бюджетных доходов формам и методам хозяйствования, как условия взаимного согласования интересов и целей деятельности государства, хозяйствующих субъектов и населения.</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 xml:space="preserve">Доходы бюджетов характеризуются на основе различных критериев, которые позволяют оценить их состав, структуру, динамику формирования, тенденции и перспективы развития </w:t>
      </w:r>
      <w:r w:rsidR="00C35783">
        <w:rPr>
          <w:color w:val="000000"/>
          <w:sz w:val="28"/>
          <w:szCs w:val="28"/>
        </w:rPr>
        <w:t>и т.д.</w:t>
      </w:r>
    </w:p>
    <w:p w:rsid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В составе доходов выделяют налоговые поступления, неналоговые поступления и иные безвозмездные, безвозвратные перечисления. Основное значение для бюджетов имеют налоговые поступления, образуемые при мобилизации различных видов налогов и сборов. Неналоговые поступления обеспечивают значительно меньший объем доходов бюджетов. Доходы в виде безвозмездных и безвозвратных перечислений образуются преимущественно</w:t>
      </w:r>
      <w:r w:rsidR="00C35783">
        <w:rPr>
          <w:color w:val="000000"/>
          <w:sz w:val="28"/>
          <w:szCs w:val="28"/>
        </w:rPr>
        <w:t xml:space="preserve"> </w:t>
      </w:r>
      <w:r w:rsidRPr="00C35783">
        <w:rPr>
          <w:color w:val="000000"/>
          <w:sz w:val="28"/>
          <w:szCs w:val="28"/>
        </w:rPr>
        <w:t>в результате перераспределения доходов между бюджетами в процессе межбюджетного регулирования. Перераспределение доходов осуществляется главным образом с верхнего уровня бюджетной системы на ее нижние уровни, так что</w:t>
      </w:r>
      <w:r w:rsidR="00C35783">
        <w:rPr>
          <w:color w:val="000000"/>
          <w:sz w:val="28"/>
          <w:szCs w:val="28"/>
        </w:rPr>
        <w:t xml:space="preserve"> </w:t>
      </w:r>
      <w:r w:rsidRPr="00C35783">
        <w:rPr>
          <w:color w:val="000000"/>
          <w:sz w:val="28"/>
          <w:szCs w:val="28"/>
        </w:rPr>
        <w:t>основной объем указанных доходов сосредоточен в местных бюджетах.</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В доходах бюджетов выделяют собственные доходы, за счет которых обеспечиваются расходные обязательства, принятые в пределах компетенции соответствующих органов власти. Собственные доходы не могут быть использованы для обеспечения расходных обязательств, обусловленных дополнительными полномочиями, возложенными на органы власти, поскольку по действующему законодательству дополнительные полномочия финансируются из доходов бюджетов того уровня, с которого переданы указанные полномочия.</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Наконец, система доходов бюджетов оценивается по совокупности применяемых налогов, сборов и иных обязательных платежей. При этом отмечают состав и структуру федеральных, региональных и местных налогов (центральных и местных налогов), соотношение прямых и косвенных налогов, виды и масштаб используемых налогов, и другие характеристики.</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 xml:space="preserve">Состав и структура федеральных, региональных и местных налогов (центральных и местных налогов) являются важнейшими характеристиками системы доходов бюджетов. В них отражаются особенности бюджетного устройства и бюджетной системы государства, в том числе применяемые методы разграничения налогов, пропорции распределения налоговых доходов между бюджетами разных уровней бюджетной системы, степень самостоятельности органов власти и местного самоуправления в сфере формирования доходов, а также используемые для их финансового обеспечения виды налогов </w:t>
      </w:r>
      <w:r w:rsidR="00C35783">
        <w:rPr>
          <w:color w:val="000000"/>
          <w:sz w:val="28"/>
          <w:szCs w:val="28"/>
        </w:rPr>
        <w:t>и т.д.</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Соотношение прямых и косвенных налогов является показательным с точки зрения стабильности поступлений налогов в бюджетную систему. Прямые налоги достаточно чутко реагируют на смену фаз экономической конъюнктуры и поэтому представляют собой циклически нестабильный источник налоговых доходов. В отличие от них косвенные налоги, также следуя в целом за фазами экономического цикла, более устойчивы к колебаниям конъюнктуры. В фазах экономического спада, объем прибыли снижается до весьма существенного, в то время как товарооборот, который также может снижаться, никогда не достигает нулевой отметки. Кроме того, косвенные налоги обладают свойством прямого индексирования по темпам инфляции. Темпы инфляции почти автоматически переносятся на объемы поступлений косвенных налогов в доходы бюджетной системы. Динамика же поступлений прямых налогов прямо не связана с темпами инфляции: поступления налога на прибыль и налога на доходы физических лиц могут, как отставать от темпов инфляции, так и опережать их в зависимости от динамики объектов обложения и характера применяемых ставок</w:t>
      </w:r>
      <w:r w:rsidR="00C35783">
        <w:rPr>
          <w:color w:val="000000"/>
          <w:sz w:val="28"/>
          <w:szCs w:val="28"/>
        </w:rPr>
        <w:t xml:space="preserve"> </w:t>
      </w:r>
      <w:r w:rsidRPr="00C35783">
        <w:rPr>
          <w:color w:val="000000"/>
          <w:sz w:val="28"/>
          <w:szCs w:val="28"/>
        </w:rPr>
        <w:t>прогрессивных или пропорциональных.</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Также показательными при оценке системы доходов бюджетов являются виды и масштабы</w:t>
      </w:r>
      <w:r w:rsidR="00C35783">
        <w:rPr>
          <w:color w:val="000000"/>
          <w:sz w:val="28"/>
          <w:szCs w:val="28"/>
        </w:rPr>
        <w:t xml:space="preserve"> </w:t>
      </w:r>
      <w:r w:rsidRPr="00C35783">
        <w:rPr>
          <w:color w:val="000000"/>
          <w:sz w:val="28"/>
          <w:szCs w:val="28"/>
        </w:rPr>
        <w:t>применяемых налогов. Помимо прямой зависимости функционирования бюджетной системы от выбора форм</w:t>
      </w:r>
      <w:r w:rsidR="00C35783">
        <w:rPr>
          <w:color w:val="000000"/>
          <w:sz w:val="28"/>
          <w:szCs w:val="28"/>
        </w:rPr>
        <w:t xml:space="preserve"> </w:t>
      </w:r>
      <w:r w:rsidRPr="00C35783">
        <w:rPr>
          <w:color w:val="000000"/>
          <w:sz w:val="28"/>
          <w:szCs w:val="28"/>
        </w:rPr>
        <w:t>бюджетных изъятий и механизма их установления, следует отметить</w:t>
      </w:r>
      <w:r w:rsidR="00C35783">
        <w:rPr>
          <w:color w:val="000000"/>
          <w:sz w:val="28"/>
          <w:szCs w:val="28"/>
        </w:rPr>
        <w:t xml:space="preserve"> </w:t>
      </w:r>
      <w:r w:rsidRPr="00C35783">
        <w:rPr>
          <w:color w:val="000000"/>
          <w:sz w:val="28"/>
          <w:szCs w:val="28"/>
        </w:rPr>
        <w:t>обусловленность методов разграничения налогов и степени налоговой автономии органов власти и местного самоуправления от масштабов применяемых налогов. Построение налоговой системы с опорой на крупные</w:t>
      </w:r>
      <w:r w:rsidR="00C35783">
        <w:rPr>
          <w:color w:val="000000"/>
          <w:sz w:val="28"/>
          <w:szCs w:val="28"/>
        </w:rPr>
        <w:t xml:space="preserve"> </w:t>
      </w:r>
      <w:r w:rsidRPr="00C35783">
        <w:rPr>
          <w:color w:val="000000"/>
          <w:sz w:val="28"/>
          <w:szCs w:val="28"/>
        </w:rPr>
        <w:t>налоги, с широко распространенной налоговой базой, обусловливает использование при разграничении налогов метода их совместного использования, с ограничением</w:t>
      </w:r>
      <w:r w:rsidR="00C35783">
        <w:rPr>
          <w:color w:val="000000"/>
          <w:sz w:val="28"/>
          <w:szCs w:val="28"/>
        </w:rPr>
        <w:t xml:space="preserve"> </w:t>
      </w:r>
      <w:r w:rsidRPr="00C35783">
        <w:rPr>
          <w:color w:val="000000"/>
          <w:sz w:val="28"/>
          <w:szCs w:val="28"/>
        </w:rPr>
        <w:t>налоговой автономии указанных органов. Вместе с тем, выбор форм налоговых изъятий во многом зависит от социально-экономического</w:t>
      </w:r>
      <w:r w:rsidR="00C35783">
        <w:rPr>
          <w:color w:val="000000"/>
          <w:sz w:val="28"/>
          <w:szCs w:val="28"/>
        </w:rPr>
        <w:t xml:space="preserve"> </w:t>
      </w:r>
      <w:r w:rsidRPr="00C35783">
        <w:rPr>
          <w:color w:val="000000"/>
          <w:sz w:val="28"/>
          <w:szCs w:val="28"/>
        </w:rPr>
        <w:t>развития страны, обусловливающим наличие или отсутствие налоговой базы по соответствующим налогам, что и обеспечивает их применение или отмену в конкретных социально-экономических условиях.</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Формирование доходов бюджетов осуществляется в соответствии с доходными полномочиями органов государственной власти и органов местного самоуправления.</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Установление доходных полномочий органов государственной власти и органов местного самоуправления осуществляется на основе разграничения между ними налоговых полномочий.</w:t>
      </w:r>
    </w:p>
    <w:p w:rsid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Налоговые полномочия представляют собой права органов власти и местного самоуправления вводить налоги, получать за счет них доходы и администрировать налоги. Соответственно выделяют следующие элементы налоговых полномочий:</w:t>
      </w:r>
    </w:p>
    <w:p w:rsidR="00C35783" w:rsidRDefault="00EA5D91" w:rsidP="00C35783">
      <w:pPr>
        <w:numPr>
          <w:ilvl w:val="0"/>
          <w:numId w:val="5"/>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 xml:space="preserve">полномочия по нормативно-правовому регулированию налогов, которые предоставляют права органам власти и местного самоуправления вводить те или иные налоги, устанавливать по ним налоговые ставки, уточнять налоговую базу </w:t>
      </w:r>
      <w:r w:rsidR="00C35783">
        <w:rPr>
          <w:color w:val="000000"/>
          <w:sz w:val="28"/>
          <w:szCs w:val="28"/>
        </w:rPr>
        <w:t>и т.д.</w:t>
      </w:r>
      <w:r w:rsidRPr="00C35783">
        <w:rPr>
          <w:color w:val="000000"/>
          <w:sz w:val="28"/>
          <w:szCs w:val="28"/>
        </w:rPr>
        <w:t>;</w:t>
      </w:r>
    </w:p>
    <w:p w:rsidR="00C35783" w:rsidRDefault="00EA5D91" w:rsidP="00C35783">
      <w:pPr>
        <w:numPr>
          <w:ilvl w:val="0"/>
          <w:numId w:val="5"/>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полномочия на получение доходов от налогов, которые предоставляют права органам власти и местного самоуправления формировать доходы соответствующих бюджетов за счет тех или иных налогов;</w:t>
      </w:r>
    </w:p>
    <w:p w:rsidR="00EA5D91" w:rsidRPr="00C35783" w:rsidRDefault="00EA5D91" w:rsidP="00C35783">
      <w:pPr>
        <w:numPr>
          <w:ilvl w:val="0"/>
          <w:numId w:val="5"/>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 xml:space="preserve">полномочия по администрированию налогов, которые предоставляют права органам власти осуществлять их мобилизацию. При разграничении налогов определяются налоговые полномочия соответствующих органов власти по каждому налогу. При этом элементы налоговых полномочий по одному и тому же налогу могут быть распределены между разными органами власти и местного самоуправления или переданы в компетенцию только одному </w:t>
      </w:r>
      <w:r w:rsidR="00C35783">
        <w:rPr>
          <w:color w:val="000000"/>
          <w:sz w:val="28"/>
          <w:szCs w:val="28"/>
        </w:rPr>
        <w:t>и т.д.</w:t>
      </w:r>
      <w:r w:rsidRPr="00C35783">
        <w:rPr>
          <w:color w:val="000000"/>
          <w:sz w:val="28"/>
          <w:szCs w:val="28"/>
        </w:rPr>
        <w:t xml:space="preserve"> Существует множество подходов и комбинаций в определении налоговых полномочий органов власти и местного самоуправления. С учетом многообразия видов налогов, сборов и иных обязательных платежей, разграничение налогов представляет собой очень сложный процесс с неоднозначными решениями.</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В теории и практике бюджетного устройства руководствуются определенными критериями разграничения налоговых полномочий между органами власти и местного самоуправления. Основными критериями</w:t>
      </w:r>
      <w:r w:rsidR="00C35783">
        <w:rPr>
          <w:color w:val="000000"/>
          <w:sz w:val="28"/>
          <w:szCs w:val="28"/>
        </w:rPr>
        <w:t xml:space="preserve"> </w:t>
      </w:r>
      <w:r w:rsidRPr="00C35783">
        <w:rPr>
          <w:color w:val="000000"/>
          <w:sz w:val="28"/>
          <w:szCs w:val="28"/>
        </w:rPr>
        <w:t>являются территориальная мобильность налоговой базы, равномерность ее размещения, экономическая эффективность, макроэкономическое регулирование, единство экономического пространства и другие.</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Первый критерий – территориальная мобильность налоговой базы. Принято считать, что чем менее мобильной является</w:t>
      </w:r>
      <w:r w:rsidR="00C35783">
        <w:rPr>
          <w:color w:val="000000"/>
          <w:sz w:val="28"/>
          <w:szCs w:val="28"/>
        </w:rPr>
        <w:t xml:space="preserve"> </w:t>
      </w:r>
      <w:r w:rsidRPr="00C35783">
        <w:rPr>
          <w:color w:val="000000"/>
          <w:sz w:val="28"/>
          <w:szCs w:val="28"/>
        </w:rPr>
        <w:t>налоговая</w:t>
      </w:r>
      <w:r w:rsidR="00C35783">
        <w:rPr>
          <w:color w:val="000000"/>
          <w:sz w:val="28"/>
          <w:szCs w:val="28"/>
        </w:rPr>
        <w:t xml:space="preserve"> </w:t>
      </w:r>
      <w:r w:rsidRPr="00C35783">
        <w:rPr>
          <w:color w:val="000000"/>
          <w:sz w:val="28"/>
          <w:szCs w:val="28"/>
        </w:rPr>
        <w:t>база, тем на более низкий уровень управления ее можно передать при обложении, так как повышение налогообложения не повлечет миграцию налоговой базы за пределы территориальной юрисдикции. Это определяет предпочтительность закрепления, например, таких налоговых источников как земля и имущество за региональными, а затем и местными бюджетами. Чем более мобильной является налоговая база, тем на более высоком уровне управления следует производить ее обложение. Высокой мобильностью в качестве налоговых источников отличаются, например, труд и капитал.</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Второй критерий – равномерность размещения налоговой базы. Этот критерий предполагает закрепление на более высоком уровне обложения</w:t>
      </w:r>
      <w:r w:rsidR="00C35783">
        <w:rPr>
          <w:color w:val="000000"/>
          <w:sz w:val="28"/>
          <w:szCs w:val="28"/>
        </w:rPr>
        <w:t xml:space="preserve"> </w:t>
      </w:r>
      <w:r w:rsidRPr="00C35783">
        <w:rPr>
          <w:color w:val="000000"/>
          <w:sz w:val="28"/>
          <w:szCs w:val="28"/>
        </w:rPr>
        <w:t>более неравномерно размещенной налоговой базы.</w:t>
      </w:r>
      <w:r w:rsidR="00C35783">
        <w:rPr>
          <w:color w:val="000000"/>
          <w:sz w:val="28"/>
          <w:szCs w:val="28"/>
        </w:rPr>
        <w:t xml:space="preserve"> </w:t>
      </w:r>
      <w:r w:rsidRPr="00C35783">
        <w:rPr>
          <w:color w:val="000000"/>
          <w:sz w:val="28"/>
          <w:szCs w:val="28"/>
        </w:rPr>
        <w:t>Выполнение данного условия позволяет обеспечить выравнивание налоговой базы разных территорий. Однако следование данному критерию при обложении, например,</w:t>
      </w:r>
      <w:r w:rsidR="00C35783">
        <w:rPr>
          <w:color w:val="000000"/>
          <w:sz w:val="28"/>
          <w:szCs w:val="28"/>
        </w:rPr>
        <w:t xml:space="preserve"> </w:t>
      </w:r>
      <w:r w:rsidRPr="00C35783">
        <w:rPr>
          <w:color w:val="000000"/>
          <w:sz w:val="28"/>
          <w:szCs w:val="28"/>
        </w:rPr>
        <w:t>природных ресурсов не согласуется с первым критерием, при котором природные ресурсы как наименее мобильный налоговый источник необходимо было бы закрепить на нижнем уровне управления.</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Третий критерий – экономическая эффективность. В соответствии с этим критерием более масштабная налоговая база должна облагаться на более высоком уровне управления, более раздробленная –</w:t>
      </w:r>
      <w:r w:rsidR="00C35783">
        <w:rPr>
          <w:color w:val="000000"/>
          <w:sz w:val="28"/>
          <w:szCs w:val="28"/>
        </w:rPr>
        <w:t xml:space="preserve"> </w:t>
      </w:r>
      <w:r w:rsidRPr="00C35783">
        <w:rPr>
          <w:color w:val="000000"/>
          <w:sz w:val="28"/>
          <w:szCs w:val="28"/>
        </w:rPr>
        <w:t>на более низком уровне. Этот критерий позволяет уменьшить прямые и косвенные административные издержки при мобилизации налога. Например, наиболее трудоемкая для учета налоговая база по имуществу населения или земельным угодьям подлежит обложению на местном уровне.</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 xml:space="preserve">Четвертый критерий – макроэкономическое регулирование. Этот критерий предполагает закрепление за федеральным уровнем управления налогов, используемых для макроэкономического регулирования экономики. Это правило действует в отношении подоходных налогов всех видов – налога на прибыль, налога на доходы физических лиц </w:t>
      </w:r>
      <w:r w:rsidR="00C35783">
        <w:rPr>
          <w:color w:val="000000"/>
          <w:sz w:val="28"/>
          <w:szCs w:val="28"/>
        </w:rPr>
        <w:t>и т.п.</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Пятый критерий – единство экономического пространства. Данный критерий предполагает установление налоговых полномочий</w:t>
      </w:r>
      <w:r w:rsidR="00C35783">
        <w:rPr>
          <w:color w:val="000000"/>
          <w:sz w:val="28"/>
          <w:szCs w:val="28"/>
        </w:rPr>
        <w:t xml:space="preserve"> </w:t>
      </w:r>
      <w:r w:rsidRPr="00C35783">
        <w:rPr>
          <w:color w:val="000000"/>
          <w:sz w:val="28"/>
          <w:szCs w:val="28"/>
        </w:rPr>
        <w:t>путем исключения возможности возникновения налоговых барьеров при перемещении товаров, капитала, трудовых и иных ресурсов, нарушающих единое экономическое пространство страны.</w:t>
      </w:r>
    </w:p>
    <w:p w:rsid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Разграничение налоговых полномочий реализуется следующими</w:t>
      </w:r>
      <w:r w:rsidR="00C35783">
        <w:rPr>
          <w:color w:val="000000"/>
          <w:sz w:val="28"/>
          <w:szCs w:val="28"/>
        </w:rPr>
        <w:t xml:space="preserve"> </w:t>
      </w:r>
      <w:r w:rsidRPr="00C35783">
        <w:rPr>
          <w:color w:val="000000"/>
          <w:sz w:val="28"/>
          <w:szCs w:val="28"/>
        </w:rPr>
        <w:t>методами:</w:t>
      </w:r>
    </w:p>
    <w:p w:rsidR="00C35783" w:rsidRDefault="00EA5D91" w:rsidP="00C35783">
      <w:pPr>
        <w:numPr>
          <w:ilvl w:val="0"/>
          <w:numId w:val="2"/>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разделения налогов (с зачислением доходов по налогу в бюджеты</w:t>
      </w:r>
      <w:r w:rsidR="00C35783">
        <w:rPr>
          <w:color w:val="000000"/>
          <w:sz w:val="28"/>
          <w:szCs w:val="28"/>
        </w:rPr>
        <w:t xml:space="preserve"> </w:t>
      </w:r>
      <w:r w:rsidRPr="00C35783">
        <w:rPr>
          <w:color w:val="000000"/>
          <w:sz w:val="28"/>
          <w:szCs w:val="28"/>
        </w:rPr>
        <w:t xml:space="preserve">одного уровня по принципу «один налог </w:t>
      </w:r>
      <w:r w:rsidR="00C35783">
        <w:rPr>
          <w:color w:val="000000"/>
          <w:sz w:val="28"/>
          <w:szCs w:val="28"/>
        </w:rPr>
        <w:t>–</w:t>
      </w:r>
      <w:r w:rsidR="00C35783" w:rsidRPr="00C35783">
        <w:rPr>
          <w:color w:val="000000"/>
          <w:sz w:val="28"/>
          <w:szCs w:val="28"/>
        </w:rPr>
        <w:t xml:space="preserve"> </w:t>
      </w:r>
      <w:r w:rsidRPr="00C35783">
        <w:rPr>
          <w:color w:val="000000"/>
          <w:sz w:val="28"/>
          <w:szCs w:val="28"/>
        </w:rPr>
        <w:t>один бюджет»);</w:t>
      </w:r>
    </w:p>
    <w:p w:rsidR="00C35783" w:rsidRDefault="00EA5D91" w:rsidP="00C35783">
      <w:pPr>
        <w:numPr>
          <w:ilvl w:val="0"/>
          <w:numId w:val="2"/>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разделения поступлений от налогов (с зачислением доходов по налогу в бюджеты разных уровней);</w:t>
      </w:r>
    </w:p>
    <w:p w:rsidR="00EA5D91" w:rsidRPr="00C35783" w:rsidRDefault="00EA5D91" w:rsidP="00C35783">
      <w:pPr>
        <w:numPr>
          <w:ilvl w:val="0"/>
          <w:numId w:val="2"/>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установления надбавок</w:t>
      </w:r>
      <w:r w:rsidR="00C35783">
        <w:rPr>
          <w:color w:val="000000"/>
          <w:sz w:val="28"/>
          <w:szCs w:val="28"/>
        </w:rPr>
        <w:t xml:space="preserve"> </w:t>
      </w:r>
      <w:r w:rsidRPr="00C35783">
        <w:rPr>
          <w:color w:val="000000"/>
          <w:sz w:val="28"/>
          <w:szCs w:val="28"/>
        </w:rPr>
        <w:t>к налогам (с зачислением доходов по налогу в бюджеты одного уровня, надбавки по налогу в бюджеты другого уровня).</w:t>
      </w:r>
    </w:p>
    <w:p w:rsidR="00C35783" w:rsidRDefault="00EA5D91" w:rsidP="00C35783">
      <w:pPr>
        <w:spacing w:line="360" w:lineRule="auto"/>
        <w:ind w:firstLine="709"/>
        <w:jc w:val="both"/>
        <w:rPr>
          <w:color w:val="000000"/>
          <w:sz w:val="28"/>
          <w:szCs w:val="28"/>
        </w:rPr>
      </w:pPr>
      <w:r w:rsidRPr="00C35783">
        <w:rPr>
          <w:color w:val="000000"/>
          <w:sz w:val="28"/>
          <w:szCs w:val="28"/>
        </w:rPr>
        <w:t>В</w:t>
      </w:r>
      <w:r w:rsidR="00C35783">
        <w:rPr>
          <w:color w:val="000000"/>
          <w:sz w:val="28"/>
          <w:szCs w:val="28"/>
        </w:rPr>
        <w:t xml:space="preserve"> </w:t>
      </w:r>
      <w:r w:rsidRPr="00C35783">
        <w:rPr>
          <w:color w:val="000000"/>
          <w:sz w:val="28"/>
          <w:szCs w:val="28"/>
        </w:rPr>
        <w:t>соответствии с Бюджетным кодексом РФ доходы бюджетов всех уровней бюджетной системы РФ образуются за счет налоговых и неналоговых видов</w:t>
      </w:r>
      <w:r w:rsidR="00C35783">
        <w:rPr>
          <w:color w:val="000000"/>
          <w:sz w:val="28"/>
          <w:szCs w:val="28"/>
        </w:rPr>
        <w:t xml:space="preserve"> </w:t>
      </w:r>
      <w:r w:rsidRPr="00C35783">
        <w:rPr>
          <w:color w:val="000000"/>
          <w:sz w:val="28"/>
          <w:szCs w:val="28"/>
        </w:rPr>
        <w:t>доходов, а также за счет</w:t>
      </w:r>
      <w:r w:rsidR="00C35783">
        <w:rPr>
          <w:color w:val="000000"/>
          <w:sz w:val="28"/>
          <w:szCs w:val="28"/>
        </w:rPr>
        <w:t xml:space="preserve"> </w:t>
      </w:r>
      <w:r w:rsidRPr="00C35783">
        <w:rPr>
          <w:color w:val="000000"/>
          <w:sz w:val="28"/>
          <w:szCs w:val="28"/>
        </w:rPr>
        <w:t>безвозмездных и безвозвратных перечислений.</w:t>
      </w:r>
    </w:p>
    <w:p w:rsidR="00EA5D91" w:rsidRPr="00C35783" w:rsidRDefault="00EA5D91" w:rsidP="00C35783">
      <w:pPr>
        <w:spacing w:line="360" w:lineRule="auto"/>
        <w:ind w:firstLine="709"/>
        <w:jc w:val="both"/>
        <w:rPr>
          <w:color w:val="000000"/>
          <w:sz w:val="28"/>
          <w:szCs w:val="28"/>
        </w:rPr>
      </w:pPr>
      <w:r w:rsidRPr="00C35783">
        <w:rPr>
          <w:color w:val="000000"/>
          <w:sz w:val="28"/>
          <w:szCs w:val="28"/>
        </w:rPr>
        <w:t>В доходах бюджетов обособленно учитываются доходы целевых бюджетных фондов, которые образуются за счет доходов целевого назначения или в порядке целевых отчислений от конкретных видов доходов или иных поступлений.</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szCs w:val="28"/>
        </w:rPr>
        <w:t>Решающую роль в формировании доходов бюджетов играют налоговые доходы. К ним относятся предусмотренные налоговым законодательством РФ федеральные, региональные и местные налоги и сборы, а также пени и штрафы. Общая характеристика основных видов действующих</w:t>
      </w:r>
      <w:r w:rsidR="00C35783">
        <w:rPr>
          <w:color w:val="000000"/>
          <w:sz w:val="28"/>
          <w:szCs w:val="28"/>
        </w:rPr>
        <w:t xml:space="preserve"> </w:t>
      </w:r>
      <w:r w:rsidRPr="00C35783">
        <w:rPr>
          <w:color w:val="000000"/>
          <w:sz w:val="28"/>
          <w:szCs w:val="28"/>
        </w:rPr>
        <w:t>налогов в РФ приведена в приложении.</w:t>
      </w:r>
    </w:p>
    <w:p w:rsidR="00C35783" w:rsidRDefault="00EA5D91" w:rsidP="00C35783">
      <w:pPr>
        <w:pStyle w:val="23"/>
        <w:spacing w:after="0" w:line="360" w:lineRule="auto"/>
        <w:ind w:firstLine="709"/>
        <w:jc w:val="both"/>
        <w:rPr>
          <w:color w:val="000000"/>
          <w:sz w:val="28"/>
        </w:rPr>
      </w:pPr>
      <w:r w:rsidRPr="00C35783">
        <w:rPr>
          <w:color w:val="000000"/>
          <w:sz w:val="28"/>
        </w:rPr>
        <w:t>В состав</w:t>
      </w:r>
      <w:r w:rsidR="00C35783">
        <w:rPr>
          <w:color w:val="000000"/>
          <w:sz w:val="28"/>
        </w:rPr>
        <w:t xml:space="preserve"> </w:t>
      </w:r>
      <w:r w:rsidRPr="00C35783">
        <w:rPr>
          <w:color w:val="000000"/>
          <w:sz w:val="28"/>
        </w:rPr>
        <w:t>неналоговых доходов включаются следующие виды поступлений:</w:t>
      </w:r>
    </w:p>
    <w:p w:rsidR="00C35783" w:rsidRDefault="00EA5D91" w:rsidP="00C35783">
      <w:pPr>
        <w:pStyle w:val="23"/>
        <w:numPr>
          <w:ilvl w:val="0"/>
          <w:numId w:val="4"/>
        </w:numPr>
        <w:tabs>
          <w:tab w:val="clear" w:pos="360"/>
          <w:tab w:val="num" w:pos="0"/>
        </w:tabs>
        <w:autoSpaceDE w:val="0"/>
        <w:autoSpaceDN w:val="0"/>
        <w:adjustRightInd w:val="0"/>
        <w:spacing w:after="0" w:line="360" w:lineRule="auto"/>
        <w:ind w:left="0" w:firstLine="709"/>
        <w:jc w:val="both"/>
        <w:rPr>
          <w:color w:val="000000"/>
          <w:sz w:val="28"/>
        </w:rPr>
      </w:pPr>
      <w:r w:rsidRPr="00C35783">
        <w:rPr>
          <w:color w:val="000000"/>
          <w:sz w:val="28"/>
        </w:rPr>
        <w:t xml:space="preserve">доходы от использования имущества, находящегося в государственной или муниципальной собственности </w:t>
      </w:r>
      <w:r w:rsidR="00C35783">
        <w:rPr>
          <w:color w:val="000000"/>
          <w:sz w:val="28"/>
        </w:rPr>
        <w:t>–</w:t>
      </w:r>
      <w:r w:rsidR="00C35783" w:rsidRPr="00C35783">
        <w:rPr>
          <w:color w:val="000000"/>
          <w:sz w:val="28"/>
        </w:rPr>
        <w:t xml:space="preserve"> </w:t>
      </w:r>
      <w:r w:rsidRPr="00C35783">
        <w:rPr>
          <w:color w:val="000000"/>
          <w:sz w:val="28"/>
        </w:rPr>
        <w:t>полученная арендная плата за сдачу имущества во временное пользование или владение; средства от передачи имущества под залог и в доверительное управление; проценты по остаткам бюджетных средств на счетах в кредитных организациях; дивиденды по акциям, принадлежащим органам государственной власти и органам местного самоуправления; часть прибыли государственных и муниципальных унитарных предприятий и др.;</w:t>
      </w:r>
    </w:p>
    <w:p w:rsidR="00C35783" w:rsidRDefault="00EA5D91" w:rsidP="00C35783">
      <w:pPr>
        <w:numPr>
          <w:ilvl w:val="0"/>
          <w:numId w:val="4"/>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доходы от платных услуг, оказываемых бюджетными учреждениями, находящимися в ведении органов государственной власти и органов местного самоуправления;</w:t>
      </w:r>
    </w:p>
    <w:p w:rsidR="00C35783" w:rsidRDefault="00EA5D91" w:rsidP="00C35783">
      <w:pPr>
        <w:numPr>
          <w:ilvl w:val="0"/>
          <w:numId w:val="4"/>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доходы от продажи или иного возмездного отчуждения имущества, находящегося в государственной или муниципальной собственности;</w:t>
      </w:r>
    </w:p>
    <w:p w:rsidR="00C35783" w:rsidRDefault="00EA5D91" w:rsidP="00C35783">
      <w:pPr>
        <w:numPr>
          <w:ilvl w:val="0"/>
          <w:numId w:val="4"/>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а также средства, поступившие в возмещение вреда, причиненного Российской Федерацией, субъектам РФ, муниципальным образованиям, и иные суммы принудительного изъятия;</w:t>
      </w:r>
    </w:p>
    <w:p w:rsidR="00EA5D91" w:rsidRPr="00C35783" w:rsidRDefault="00EA5D91" w:rsidP="00C35783">
      <w:pPr>
        <w:numPr>
          <w:ilvl w:val="0"/>
          <w:numId w:val="4"/>
        </w:numPr>
        <w:tabs>
          <w:tab w:val="clear" w:pos="360"/>
          <w:tab w:val="num" w:pos="0"/>
        </w:tabs>
        <w:autoSpaceDE w:val="0"/>
        <w:autoSpaceDN w:val="0"/>
        <w:adjustRightInd w:val="0"/>
        <w:spacing w:line="360" w:lineRule="auto"/>
        <w:ind w:left="0" w:firstLine="709"/>
        <w:jc w:val="both"/>
        <w:rPr>
          <w:color w:val="000000"/>
          <w:sz w:val="28"/>
          <w:szCs w:val="28"/>
        </w:rPr>
      </w:pPr>
      <w:r w:rsidRPr="00C35783">
        <w:rPr>
          <w:color w:val="000000"/>
          <w:sz w:val="28"/>
          <w:szCs w:val="28"/>
        </w:rPr>
        <w:t>иные неналоговые доходы.</w:t>
      </w:r>
    </w:p>
    <w:p w:rsidR="00C35783" w:rsidRDefault="00EA5D91" w:rsidP="00C35783">
      <w:pPr>
        <w:pStyle w:val="ConsNormal"/>
        <w:widowControl/>
        <w:spacing w:line="360" w:lineRule="auto"/>
        <w:ind w:right="0" w:firstLine="709"/>
        <w:jc w:val="both"/>
        <w:rPr>
          <w:rFonts w:ascii="Times New Roman" w:hAnsi="Times New Roman" w:cs="Times New Roman"/>
          <w:color w:val="000000"/>
          <w:sz w:val="28"/>
          <w:szCs w:val="28"/>
        </w:rPr>
      </w:pPr>
      <w:r w:rsidRPr="00C35783">
        <w:rPr>
          <w:rFonts w:ascii="Times New Roman" w:hAnsi="Times New Roman" w:cs="Times New Roman"/>
          <w:color w:val="000000"/>
          <w:sz w:val="28"/>
          <w:szCs w:val="28"/>
        </w:rPr>
        <w:t>Безвозмездные и безвозвратные перечисления формируют бюджеты наряду с налоговыми и неналоговыми доходами. Они включают следующие виды перечислений:</w:t>
      </w:r>
    </w:p>
    <w:p w:rsidR="00C35783" w:rsidRDefault="00EA5D91" w:rsidP="00C35783">
      <w:pPr>
        <w:pStyle w:val="ConsNormal"/>
        <w:widowControl/>
        <w:numPr>
          <w:ilvl w:val="0"/>
          <w:numId w:val="1"/>
        </w:numPr>
        <w:spacing w:line="360" w:lineRule="auto"/>
        <w:ind w:left="0" w:right="0" w:firstLine="709"/>
        <w:jc w:val="both"/>
        <w:rPr>
          <w:rFonts w:ascii="Times New Roman" w:hAnsi="Times New Roman" w:cs="Times New Roman"/>
          <w:color w:val="000000"/>
          <w:sz w:val="28"/>
          <w:szCs w:val="28"/>
        </w:rPr>
      </w:pPr>
      <w:r w:rsidRPr="00C35783">
        <w:rPr>
          <w:rFonts w:ascii="Times New Roman" w:hAnsi="Times New Roman" w:cs="Times New Roman"/>
          <w:color w:val="000000"/>
          <w:sz w:val="28"/>
          <w:szCs w:val="28"/>
        </w:rPr>
        <w:t>финансовую помощь из бюджетов других уровней в форме дотаций и субсидий;</w:t>
      </w:r>
    </w:p>
    <w:p w:rsidR="00C35783" w:rsidRDefault="00EA5D91" w:rsidP="00C35783">
      <w:pPr>
        <w:pStyle w:val="ConsNormal"/>
        <w:widowControl/>
        <w:numPr>
          <w:ilvl w:val="0"/>
          <w:numId w:val="1"/>
        </w:numPr>
        <w:spacing w:line="360" w:lineRule="auto"/>
        <w:ind w:left="0" w:right="0" w:firstLine="709"/>
        <w:jc w:val="both"/>
        <w:rPr>
          <w:rFonts w:ascii="Times New Roman" w:hAnsi="Times New Roman" w:cs="Times New Roman"/>
          <w:color w:val="000000"/>
          <w:sz w:val="28"/>
          <w:szCs w:val="28"/>
        </w:rPr>
      </w:pPr>
      <w:r w:rsidRPr="00C35783">
        <w:rPr>
          <w:rFonts w:ascii="Times New Roman" w:hAnsi="Times New Roman" w:cs="Times New Roman"/>
          <w:color w:val="000000"/>
          <w:sz w:val="28"/>
          <w:szCs w:val="28"/>
        </w:rPr>
        <w:t>субвенции из Федерального фонда компенсаций и (или) из региональных фондов компенсаций;</w:t>
      </w:r>
    </w:p>
    <w:p w:rsidR="00C35783" w:rsidRDefault="00EA5D91" w:rsidP="00C35783">
      <w:pPr>
        <w:pStyle w:val="ConsNormal"/>
        <w:widowControl/>
        <w:numPr>
          <w:ilvl w:val="0"/>
          <w:numId w:val="1"/>
        </w:numPr>
        <w:spacing w:line="360" w:lineRule="auto"/>
        <w:ind w:left="0" w:right="0" w:firstLine="709"/>
        <w:jc w:val="both"/>
        <w:rPr>
          <w:rFonts w:ascii="Times New Roman" w:hAnsi="Times New Roman" w:cs="Times New Roman"/>
          <w:color w:val="000000"/>
          <w:sz w:val="28"/>
          <w:szCs w:val="28"/>
        </w:rPr>
      </w:pPr>
      <w:r w:rsidRPr="00C35783">
        <w:rPr>
          <w:rFonts w:ascii="Times New Roman" w:hAnsi="Times New Roman" w:cs="Times New Roman"/>
          <w:color w:val="000000"/>
          <w:sz w:val="28"/>
          <w:szCs w:val="28"/>
        </w:rPr>
        <w:t>субвенции из местных бюджетов бюджетам других уровней;</w:t>
      </w:r>
    </w:p>
    <w:p w:rsidR="00C35783" w:rsidRDefault="00EA5D91" w:rsidP="00C35783">
      <w:pPr>
        <w:pStyle w:val="ConsNormal"/>
        <w:widowControl/>
        <w:numPr>
          <w:ilvl w:val="0"/>
          <w:numId w:val="1"/>
        </w:numPr>
        <w:spacing w:line="360" w:lineRule="auto"/>
        <w:ind w:left="0" w:right="0" w:firstLine="709"/>
        <w:jc w:val="both"/>
        <w:rPr>
          <w:rFonts w:ascii="Times New Roman" w:hAnsi="Times New Roman" w:cs="Times New Roman"/>
          <w:color w:val="000000"/>
          <w:sz w:val="28"/>
          <w:szCs w:val="28"/>
        </w:rPr>
      </w:pPr>
      <w:r w:rsidRPr="00C35783">
        <w:rPr>
          <w:rFonts w:ascii="Times New Roman" w:hAnsi="Times New Roman" w:cs="Times New Roman"/>
          <w:color w:val="000000"/>
          <w:sz w:val="28"/>
          <w:szCs w:val="28"/>
        </w:rPr>
        <w:t>иные безвозмездные и безвозвратные перечисления между бюджетами бюджетной системы Российской Федерации;</w:t>
      </w:r>
    </w:p>
    <w:p w:rsidR="00C35783" w:rsidRDefault="00EA5D91" w:rsidP="00C35783">
      <w:pPr>
        <w:pStyle w:val="ConsNormal"/>
        <w:widowControl/>
        <w:numPr>
          <w:ilvl w:val="0"/>
          <w:numId w:val="1"/>
        </w:numPr>
        <w:spacing w:line="360" w:lineRule="auto"/>
        <w:ind w:left="0" w:right="0" w:firstLine="709"/>
        <w:jc w:val="both"/>
        <w:rPr>
          <w:rFonts w:ascii="Times New Roman" w:hAnsi="Times New Roman" w:cs="Times New Roman"/>
          <w:color w:val="000000"/>
          <w:sz w:val="28"/>
          <w:szCs w:val="28"/>
        </w:rPr>
      </w:pPr>
      <w:r w:rsidRPr="00C35783">
        <w:rPr>
          <w:rFonts w:ascii="Times New Roman" w:hAnsi="Times New Roman" w:cs="Times New Roman"/>
          <w:color w:val="000000"/>
          <w:sz w:val="28"/>
          <w:szCs w:val="28"/>
        </w:rPr>
        <w:t>безвозмездные и безвозвратные перечисления из бюджетов государственных и (или) территориальных государственных внебюджетных фондов;</w:t>
      </w:r>
    </w:p>
    <w:p w:rsidR="00EA5D91" w:rsidRPr="00C35783" w:rsidRDefault="00EA5D91" w:rsidP="00C35783">
      <w:pPr>
        <w:pStyle w:val="ConsNormal"/>
        <w:widowControl/>
        <w:numPr>
          <w:ilvl w:val="0"/>
          <w:numId w:val="1"/>
        </w:numPr>
        <w:spacing w:line="360" w:lineRule="auto"/>
        <w:ind w:left="0" w:right="0" w:firstLine="709"/>
        <w:jc w:val="both"/>
        <w:rPr>
          <w:rFonts w:ascii="Times New Roman" w:hAnsi="Times New Roman" w:cs="Times New Roman"/>
          <w:color w:val="000000"/>
          <w:sz w:val="28"/>
          <w:szCs w:val="28"/>
        </w:rPr>
      </w:pPr>
      <w:r w:rsidRPr="00C35783">
        <w:rPr>
          <w:rFonts w:ascii="Times New Roman" w:hAnsi="Times New Roman" w:cs="Times New Roman"/>
          <w:color w:val="000000"/>
          <w:sz w:val="28"/>
          <w:szCs w:val="28"/>
        </w:rPr>
        <w:t>безвозмездные и безвозвратные перечисления от физических лиц и юридических лиц, международных организаций и правительств иностранных государств, в том числе добровольные пожертвования.</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rPr>
        <w:t xml:space="preserve">На 1 января 2010 года, </w:t>
      </w:r>
      <w:r w:rsidRPr="00C35783">
        <w:rPr>
          <w:color w:val="000000"/>
          <w:sz w:val="28"/>
          <w:szCs w:val="28"/>
        </w:rPr>
        <w:t>в объеме доходов консолидированного бюджета Российской Федерации, налоговые доходы составили 70,</w:t>
      </w:r>
      <w:r w:rsidR="00C35783" w:rsidRPr="00C35783">
        <w:rPr>
          <w:color w:val="000000"/>
          <w:sz w:val="28"/>
          <w:szCs w:val="28"/>
        </w:rPr>
        <w:t>5</w:t>
      </w:r>
      <w:r w:rsidR="00C35783">
        <w:rPr>
          <w:color w:val="000000"/>
          <w:sz w:val="28"/>
          <w:szCs w:val="28"/>
        </w:rPr>
        <w:t>%</w:t>
      </w:r>
      <w:r w:rsidRPr="00C35783">
        <w:rPr>
          <w:color w:val="000000"/>
          <w:sz w:val="28"/>
          <w:szCs w:val="28"/>
        </w:rPr>
        <w:t xml:space="preserve">, неналоговые доходы </w:t>
      </w:r>
      <w:r w:rsidR="00C35783">
        <w:rPr>
          <w:color w:val="000000"/>
          <w:sz w:val="28"/>
          <w:szCs w:val="28"/>
        </w:rPr>
        <w:t>–</w:t>
      </w:r>
      <w:r w:rsidR="00C35783" w:rsidRPr="00C35783">
        <w:rPr>
          <w:color w:val="000000"/>
          <w:sz w:val="28"/>
          <w:szCs w:val="28"/>
        </w:rPr>
        <w:t xml:space="preserve"> </w:t>
      </w:r>
      <w:r w:rsidRPr="00C35783">
        <w:rPr>
          <w:color w:val="000000"/>
          <w:sz w:val="28"/>
          <w:szCs w:val="28"/>
        </w:rPr>
        <w:t>28,</w:t>
      </w:r>
      <w:r w:rsidR="00C35783" w:rsidRPr="00C35783">
        <w:rPr>
          <w:color w:val="000000"/>
          <w:sz w:val="28"/>
          <w:szCs w:val="28"/>
        </w:rPr>
        <w:t>6</w:t>
      </w:r>
      <w:r w:rsidR="00C35783">
        <w:rPr>
          <w:color w:val="000000"/>
          <w:sz w:val="28"/>
          <w:szCs w:val="28"/>
        </w:rPr>
        <w:t>%</w:t>
      </w:r>
      <w:r w:rsidRPr="00C35783">
        <w:rPr>
          <w:color w:val="000000"/>
          <w:sz w:val="28"/>
          <w:szCs w:val="28"/>
        </w:rPr>
        <w:t xml:space="preserve">. Из общего объема налоговых доходов </w:t>
      </w:r>
      <w:r w:rsidR="00C35783">
        <w:rPr>
          <w:color w:val="000000"/>
          <w:sz w:val="28"/>
          <w:szCs w:val="28"/>
        </w:rPr>
        <w:t xml:space="preserve">– </w:t>
      </w:r>
      <w:r w:rsidRPr="00C35783">
        <w:rPr>
          <w:color w:val="000000"/>
          <w:sz w:val="28"/>
          <w:szCs w:val="28"/>
        </w:rPr>
        <w:t>88,</w:t>
      </w:r>
      <w:r w:rsidR="00C35783" w:rsidRPr="00C35783">
        <w:rPr>
          <w:color w:val="000000"/>
          <w:sz w:val="28"/>
          <w:szCs w:val="28"/>
        </w:rPr>
        <w:t>0</w:t>
      </w:r>
      <w:r w:rsidR="00C35783">
        <w:rPr>
          <w:color w:val="000000"/>
          <w:sz w:val="28"/>
          <w:szCs w:val="28"/>
        </w:rPr>
        <w:t>%</w:t>
      </w:r>
      <w:r w:rsidRPr="00C35783">
        <w:rPr>
          <w:color w:val="000000"/>
          <w:sz w:val="28"/>
          <w:szCs w:val="28"/>
        </w:rPr>
        <w:t xml:space="preserve"> поступлений</w:t>
      </w:r>
      <w:r w:rsidR="00C35783">
        <w:rPr>
          <w:color w:val="000000"/>
          <w:sz w:val="28"/>
          <w:szCs w:val="28"/>
        </w:rPr>
        <w:t xml:space="preserve"> </w:t>
      </w:r>
      <w:r w:rsidRPr="00C35783">
        <w:rPr>
          <w:color w:val="000000"/>
          <w:sz w:val="28"/>
          <w:szCs w:val="28"/>
        </w:rPr>
        <w:t>обеспечено за счет пяти основных видов налогов: налога на прибыль организаций –25,</w:t>
      </w:r>
      <w:r w:rsidR="00C35783" w:rsidRPr="00C35783">
        <w:rPr>
          <w:color w:val="000000"/>
          <w:sz w:val="28"/>
          <w:szCs w:val="28"/>
        </w:rPr>
        <w:t>2</w:t>
      </w:r>
      <w:r w:rsidR="00C35783">
        <w:rPr>
          <w:color w:val="000000"/>
          <w:sz w:val="28"/>
          <w:szCs w:val="28"/>
        </w:rPr>
        <w:t>%</w:t>
      </w:r>
      <w:r w:rsidRPr="00C35783">
        <w:rPr>
          <w:color w:val="000000"/>
          <w:sz w:val="28"/>
          <w:szCs w:val="28"/>
        </w:rPr>
        <w:t>, налога на доходы физических лиц –13,</w:t>
      </w:r>
      <w:r w:rsidR="00C35783" w:rsidRPr="00C35783">
        <w:rPr>
          <w:color w:val="000000"/>
          <w:sz w:val="28"/>
          <w:szCs w:val="28"/>
        </w:rPr>
        <w:t>2</w:t>
      </w:r>
      <w:r w:rsidR="00C35783">
        <w:rPr>
          <w:color w:val="000000"/>
          <w:sz w:val="28"/>
          <w:szCs w:val="28"/>
        </w:rPr>
        <w:t>%</w:t>
      </w:r>
      <w:r w:rsidRPr="00C35783">
        <w:rPr>
          <w:color w:val="000000"/>
          <w:sz w:val="28"/>
          <w:szCs w:val="28"/>
        </w:rPr>
        <w:t>, НДС – 27,</w:t>
      </w:r>
      <w:r w:rsidR="00C35783" w:rsidRPr="00C35783">
        <w:rPr>
          <w:color w:val="000000"/>
          <w:sz w:val="28"/>
          <w:szCs w:val="28"/>
        </w:rPr>
        <w:t>5</w:t>
      </w:r>
      <w:r w:rsidR="00C35783">
        <w:rPr>
          <w:color w:val="000000"/>
          <w:sz w:val="28"/>
          <w:szCs w:val="28"/>
        </w:rPr>
        <w:t>%</w:t>
      </w:r>
      <w:r w:rsidRPr="00C35783">
        <w:rPr>
          <w:color w:val="000000"/>
          <w:sz w:val="28"/>
          <w:szCs w:val="28"/>
        </w:rPr>
        <w:t>, акцизов – 4,</w:t>
      </w:r>
      <w:r w:rsidR="00C35783" w:rsidRPr="00C35783">
        <w:rPr>
          <w:color w:val="000000"/>
          <w:sz w:val="28"/>
          <w:szCs w:val="28"/>
        </w:rPr>
        <w:t>8</w:t>
      </w:r>
      <w:r w:rsidR="00C35783">
        <w:rPr>
          <w:color w:val="000000"/>
          <w:sz w:val="28"/>
          <w:szCs w:val="28"/>
        </w:rPr>
        <w:t>%</w:t>
      </w:r>
      <w:r w:rsidRPr="00C35783">
        <w:rPr>
          <w:rStyle w:val="aa"/>
          <w:color w:val="000000"/>
          <w:sz w:val="28"/>
          <w:szCs w:val="28"/>
        </w:rPr>
        <w:t>.</w:t>
      </w:r>
      <w:r w:rsidRPr="00C35783">
        <w:rPr>
          <w:color w:val="000000"/>
          <w:sz w:val="28"/>
          <w:szCs w:val="28"/>
        </w:rPr>
        <w:t>, налогов, сборов и регулярных платежей за пользование природными ресурсами – 17,</w:t>
      </w:r>
      <w:r w:rsidR="00C35783" w:rsidRPr="00C35783">
        <w:rPr>
          <w:color w:val="000000"/>
          <w:sz w:val="28"/>
          <w:szCs w:val="28"/>
        </w:rPr>
        <w:t>3</w:t>
      </w:r>
      <w:r w:rsidR="00C35783">
        <w:rPr>
          <w:color w:val="000000"/>
          <w:sz w:val="28"/>
          <w:szCs w:val="28"/>
        </w:rPr>
        <w:t>%</w:t>
      </w:r>
      <w:r w:rsidRPr="00C35783">
        <w:rPr>
          <w:color w:val="000000"/>
          <w:sz w:val="28"/>
          <w:szCs w:val="28"/>
        </w:rPr>
        <w:t>. (</w:t>
      </w:r>
      <w:r w:rsidR="00C35783" w:rsidRPr="00C35783">
        <w:rPr>
          <w:color w:val="000000"/>
          <w:sz w:val="28"/>
          <w:szCs w:val="28"/>
        </w:rPr>
        <w:t>см.</w:t>
      </w:r>
      <w:r w:rsidR="00C35783">
        <w:rPr>
          <w:color w:val="000000"/>
          <w:sz w:val="28"/>
          <w:szCs w:val="28"/>
        </w:rPr>
        <w:t xml:space="preserve"> </w:t>
      </w:r>
      <w:r w:rsidR="00C35783" w:rsidRPr="00C35783">
        <w:rPr>
          <w:color w:val="000000"/>
          <w:sz w:val="28"/>
          <w:szCs w:val="28"/>
        </w:rPr>
        <w:t>т</w:t>
      </w:r>
      <w:r w:rsidRPr="00C35783">
        <w:rPr>
          <w:color w:val="000000"/>
          <w:sz w:val="28"/>
          <w:szCs w:val="28"/>
        </w:rPr>
        <w:t>абл. 1).</w:t>
      </w:r>
    </w:p>
    <w:p w:rsidR="00C35783" w:rsidRDefault="00EA5D91" w:rsidP="00C35783">
      <w:pPr>
        <w:pStyle w:val="21"/>
        <w:spacing w:after="0" w:line="360" w:lineRule="auto"/>
        <w:ind w:left="0" w:firstLine="709"/>
        <w:jc w:val="both"/>
        <w:rPr>
          <w:color w:val="000000"/>
          <w:sz w:val="28"/>
        </w:rPr>
      </w:pPr>
      <w:r w:rsidRPr="00C35783">
        <w:rPr>
          <w:color w:val="000000"/>
          <w:sz w:val="28"/>
        </w:rPr>
        <w:t>Формирование доходов бюджетов разных уровней бюджетной системы РФ имеет свои особенности. При этом основной объем доходов бюджетной системы РФ сосредоточен в федеральном бюджете.</w:t>
      </w:r>
    </w:p>
    <w:p w:rsidR="00EA5D91" w:rsidRPr="00C35783" w:rsidRDefault="00EA5D91" w:rsidP="00C35783">
      <w:pPr>
        <w:pStyle w:val="21"/>
        <w:spacing w:after="0" w:line="360" w:lineRule="auto"/>
        <w:ind w:left="0" w:firstLine="709"/>
        <w:jc w:val="both"/>
        <w:rPr>
          <w:color w:val="000000"/>
          <w:sz w:val="28"/>
        </w:rPr>
      </w:pPr>
      <w:r w:rsidRPr="00C35783">
        <w:rPr>
          <w:color w:val="000000"/>
          <w:sz w:val="28"/>
        </w:rPr>
        <w:t>Налоговые доходы федерального бюджета образуются за счет федеральных налогов и сборов, а также налогов, предусмотренных специальными налоговыми режимами, зачисляемых в порядке, предусмотренном действующим законодательством. В составе федеральных налогов учитываются: налог на добавленную стоимость; акцизы;</w:t>
      </w:r>
      <w:r w:rsidR="00C35783">
        <w:rPr>
          <w:color w:val="000000"/>
          <w:sz w:val="28"/>
        </w:rPr>
        <w:t xml:space="preserve"> </w:t>
      </w:r>
      <w:r w:rsidRPr="00C35783">
        <w:rPr>
          <w:color w:val="000000"/>
          <w:sz w:val="28"/>
        </w:rPr>
        <w:t>налог на доходы физических лиц;</w:t>
      </w:r>
      <w:r w:rsidR="00C35783">
        <w:rPr>
          <w:color w:val="000000"/>
          <w:sz w:val="28"/>
        </w:rPr>
        <w:t xml:space="preserve"> </w:t>
      </w:r>
      <w:r w:rsidRPr="00C35783">
        <w:rPr>
          <w:color w:val="000000"/>
          <w:sz w:val="28"/>
        </w:rPr>
        <w:t>единый социальный налог; налог на добычу полезных ископаемых; налог на прибыль организаций; государственная пошлина; налог на наследование или дарение; водный налог; сборы за пользование объектами животного мира и за пользование объектами водных биологических ресурсов.</w:t>
      </w:r>
    </w:p>
    <w:p w:rsidR="00EA5D91" w:rsidRPr="00C35783" w:rsidRDefault="00EA5D91" w:rsidP="00C35783">
      <w:pPr>
        <w:pStyle w:val="21"/>
        <w:spacing w:after="0" w:line="360" w:lineRule="auto"/>
        <w:ind w:left="0" w:firstLine="709"/>
        <w:jc w:val="both"/>
        <w:rPr>
          <w:color w:val="000000"/>
          <w:sz w:val="28"/>
        </w:rPr>
      </w:pPr>
      <w:r w:rsidRPr="00C35783">
        <w:rPr>
          <w:color w:val="000000"/>
          <w:sz w:val="28"/>
        </w:rPr>
        <w:t>В их число также входят налоги, взимаемые в соответствии со специальными налоговыми режимами.</w:t>
      </w:r>
    </w:p>
    <w:p w:rsidR="00EA5D91" w:rsidRPr="00923FA5" w:rsidRDefault="00EA5D91" w:rsidP="00C35783">
      <w:pPr>
        <w:pStyle w:val="21"/>
        <w:spacing w:after="0" w:line="360" w:lineRule="auto"/>
        <w:ind w:left="0" w:firstLine="709"/>
        <w:jc w:val="both"/>
        <w:rPr>
          <w:color w:val="000000"/>
          <w:sz w:val="28"/>
        </w:rPr>
      </w:pPr>
      <w:r w:rsidRPr="00C35783">
        <w:rPr>
          <w:color w:val="000000"/>
          <w:sz w:val="28"/>
        </w:rPr>
        <w:t>Таблица 1.</w:t>
      </w:r>
      <w:r w:rsidR="00923FA5">
        <w:rPr>
          <w:color w:val="000000"/>
          <w:sz w:val="28"/>
        </w:rPr>
        <w:t xml:space="preserve"> </w:t>
      </w:r>
      <w:r w:rsidRPr="00923FA5">
        <w:rPr>
          <w:color w:val="000000"/>
          <w:sz w:val="28"/>
        </w:rPr>
        <w:t>Состав и структура</w:t>
      </w:r>
      <w:r w:rsidR="00C35783" w:rsidRPr="00923FA5">
        <w:rPr>
          <w:color w:val="000000"/>
          <w:sz w:val="28"/>
        </w:rPr>
        <w:t xml:space="preserve"> </w:t>
      </w:r>
      <w:r w:rsidRPr="00923FA5">
        <w:rPr>
          <w:color w:val="000000"/>
          <w:sz w:val="28"/>
        </w:rPr>
        <w:t>доходов и расходов</w:t>
      </w:r>
      <w:r w:rsidR="00C35783" w:rsidRPr="00923FA5">
        <w:rPr>
          <w:color w:val="000000"/>
          <w:sz w:val="28"/>
        </w:rPr>
        <w:t xml:space="preserve"> </w:t>
      </w:r>
      <w:r w:rsidRPr="00923FA5">
        <w:rPr>
          <w:color w:val="000000"/>
          <w:sz w:val="28"/>
        </w:rPr>
        <w:t>бюджетов бюджетной системы РФ по итогам исполнения за 2009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32"/>
        <w:gridCol w:w="1551"/>
        <w:gridCol w:w="974"/>
        <w:gridCol w:w="1311"/>
        <w:gridCol w:w="974"/>
        <w:gridCol w:w="1443"/>
        <w:gridCol w:w="1012"/>
      </w:tblGrid>
      <w:tr w:rsidR="00EA5D91" w:rsidRPr="00401538" w:rsidTr="00401538">
        <w:trPr>
          <w:cantSplit/>
          <w:jc w:val="center"/>
        </w:trPr>
        <w:tc>
          <w:tcPr>
            <w:tcW w:w="1093" w:type="pct"/>
            <w:vMerge w:val="restar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Наименование доходов</w:t>
            </w:r>
            <w:r w:rsidR="00C35783" w:rsidRPr="00401538">
              <w:rPr>
                <w:color w:val="000000"/>
                <w:sz w:val="20"/>
              </w:rPr>
              <w:t xml:space="preserve"> </w:t>
            </w:r>
            <w:r w:rsidRPr="00401538">
              <w:rPr>
                <w:color w:val="000000"/>
                <w:sz w:val="20"/>
              </w:rPr>
              <w:t>и расходов</w:t>
            </w:r>
          </w:p>
        </w:tc>
        <w:tc>
          <w:tcPr>
            <w:tcW w:w="1358" w:type="pct"/>
            <w:gridSpan w:val="2"/>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Консолидированный бюджет РФ</w:t>
            </w:r>
          </w:p>
        </w:tc>
        <w:tc>
          <w:tcPr>
            <w:tcW w:w="1229" w:type="pct"/>
            <w:gridSpan w:val="2"/>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Федеральный бюджет</w:t>
            </w:r>
          </w:p>
        </w:tc>
        <w:tc>
          <w:tcPr>
            <w:tcW w:w="1321" w:type="pct"/>
            <w:gridSpan w:val="2"/>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Консолидированные бюджеты субъектов РФ</w:t>
            </w:r>
          </w:p>
        </w:tc>
      </w:tr>
      <w:tr w:rsidR="00EA5D91" w:rsidRPr="00401538" w:rsidTr="00401538">
        <w:trPr>
          <w:cantSplit/>
          <w:jc w:val="center"/>
        </w:trPr>
        <w:tc>
          <w:tcPr>
            <w:tcW w:w="1093" w:type="pct"/>
            <w:vMerge/>
            <w:shd w:val="clear" w:color="auto" w:fill="auto"/>
          </w:tcPr>
          <w:p w:rsidR="00EA5D91" w:rsidRPr="00401538" w:rsidRDefault="00EA5D91" w:rsidP="00401538">
            <w:pPr>
              <w:pStyle w:val="21"/>
              <w:spacing w:after="0" w:line="360" w:lineRule="auto"/>
              <w:ind w:left="0"/>
              <w:jc w:val="both"/>
              <w:rPr>
                <w:color w:val="000000"/>
                <w:sz w:val="20"/>
              </w:rPr>
            </w:pP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млн. руб.</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млн. руб.</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млн. руб.</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b/>
                <w:bCs/>
                <w:color w:val="000000"/>
                <w:sz w:val="20"/>
              </w:rPr>
              <w:t>1</w:t>
            </w:r>
          </w:p>
        </w:tc>
        <w:tc>
          <w:tcPr>
            <w:tcW w:w="834"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b/>
                <w:bCs/>
                <w:color w:val="000000"/>
                <w:sz w:val="20"/>
              </w:rPr>
              <w:t>2</w:t>
            </w:r>
          </w:p>
        </w:tc>
        <w:tc>
          <w:tcPr>
            <w:tcW w:w="524"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b/>
                <w:bCs/>
                <w:color w:val="000000"/>
                <w:sz w:val="20"/>
              </w:rPr>
              <w:t>3</w:t>
            </w:r>
          </w:p>
        </w:tc>
        <w:tc>
          <w:tcPr>
            <w:tcW w:w="705"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b/>
                <w:bCs/>
                <w:color w:val="000000"/>
                <w:sz w:val="20"/>
              </w:rPr>
              <w:t>4</w:t>
            </w:r>
          </w:p>
        </w:tc>
        <w:tc>
          <w:tcPr>
            <w:tcW w:w="524"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b/>
                <w:bCs/>
                <w:color w:val="000000"/>
                <w:sz w:val="20"/>
              </w:rPr>
              <w:t>5</w:t>
            </w:r>
          </w:p>
        </w:tc>
        <w:tc>
          <w:tcPr>
            <w:tcW w:w="776"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b/>
                <w:bCs/>
                <w:color w:val="000000"/>
                <w:sz w:val="20"/>
              </w:rPr>
              <w:t>6</w:t>
            </w:r>
          </w:p>
        </w:tc>
        <w:tc>
          <w:tcPr>
            <w:tcW w:w="544"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b/>
                <w:bCs/>
                <w:color w:val="000000"/>
                <w:sz w:val="20"/>
              </w:rPr>
              <w:t>7</w:t>
            </w:r>
          </w:p>
        </w:tc>
      </w:tr>
      <w:tr w:rsidR="00EA5D91" w:rsidRPr="00401538" w:rsidTr="00401538">
        <w:trPr>
          <w:cantSplit/>
          <w:jc w:val="center"/>
        </w:trPr>
        <w:tc>
          <w:tcPr>
            <w:tcW w:w="5000" w:type="pct"/>
            <w:gridSpan w:val="7"/>
            <w:shd w:val="clear" w:color="auto" w:fill="auto"/>
          </w:tcPr>
          <w:p w:rsidR="00EA5D91" w:rsidRPr="00401538" w:rsidRDefault="00EA5D91" w:rsidP="00401538">
            <w:pPr>
              <w:pStyle w:val="21"/>
              <w:spacing w:after="0" w:line="360" w:lineRule="auto"/>
              <w:ind w:left="0"/>
              <w:jc w:val="both"/>
              <w:rPr>
                <w:b/>
                <w:color w:val="000000"/>
                <w:sz w:val="20"/>
              </w:rPr>
            </w:pPr>
            <w:r w:rsidRPr="00401538">
              <w:rPr>
                <w:b/>
                <w:color w:val="000000"/>
                <w:sz w:val="20"/>
              </w:rPr>
              <w:t>Доходы</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bCs/>
                <w:color w:val="000000"/>
                <w:sz w:val="20"/>
              </w:rPr>
            </w:pPr>
            <w:r w:rsidRPr="00401538">
              <w:rPr>
                <w:bCs/>
                <w:color w:val="000000"/>
                <w:sz w:val="20"/>
              </w:rPr>
              <w:t>Налоговые доходы</w:t>
            </w:r>
            <w:r w:rsidR="00923FA5" w:rsidRPr="00401538">
              <w:rPr>
                <w:bCs/>
                <w:color w:val="000000"/>
                <w:sz w:val="20"/>
              </w:rPr>
              <w:t xml:space="preserve"> </w:t>
            </w:r>
            <w:r w:rsidRPr="00401538">
              <w:rPr>
                <w:bCs/>
                <w:color w:val="000000"/>
                <w:sz w:val="20"/>
              </w:rPr>
              <w:t>из них:</w:t>
            </w:r>
          </w:p>
        </w:tc>
        <w:tc>
          <w:tcPr>
            <w:tcW w:w="834"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color w:val="000000"/>
                <w:sz w:val="20"/>
              </w:rPr>
              <w:t>5362755</w:t>
            </w:r>
          </w:p>
        </w:tc>
        <w:tc>
          <w:tcPr>
            <w:tcW w:w="524"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color w:val="000000"/>
                <w:sz w:val="20"/>
              </w:rPr>
              <w:t>70,5</w:t>
            </w:r>
          </w:p>
        </w:tc>
        <w:tc>
          <w:tcPr>
            <w:tcW w:w="705"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color w:val="000000"/>
                <w:sz w:val="20"/>
              </w:rPr>
              <w:t>3130247</w:t>
            </w:r>
          </w:p>
        </w:tc>
        <w:tc>
          <w:tcPr>
            <w:tcW w:w="524"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color w:val="000000"/>
                <w:sz w:val="20"/>
              </w:rPr>
              <w:t>61,1</w:t>
            </w:r>
          </w:p>
        </w:tc>
        <w:tc>
          <w:tcPr>
            <w:tcW w:w="776"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color w:val="000000"/>
                <w:sz w:val="20"/>
              </w:rPr>
              <w:t>2232508</w:t>
            </w:r>
          </w:p>
        </w:tc>
        <w:tc>
          <w:tcPr>
            <w:tcW w:w="544" w:type="pct"/>
            <w:shd w:val="clear" w:color="auto" w:fill="auto"/>
          </w:tcPr>
          <w:p w:rsidR="00EA5D91" w:rsidRPr="00401538" w:rsidRDefault="00EA5D91" w:rsidP="00401538">
            <w:pPr>
              <w:pStyle w:val="21"/>
              <w:spacing w:after="0" w:line="360" w:lineRule="auto"/>
              <w:ind w:left="0"/>
              <w:jc w:val="both"/>
              <w:rPr>
                <w:b/>
                <w:bCs/>
                <w:color w:val="000000"/>
                <w:sz w:val="20"/>
              </w:rPr>
            </w:pPr>
            <w:r w:rsidRPr="00401538">
              <w:rPr>
                <w:color w:val="000000"/>
                <w:sz w:val="20"/>
              </w:rPr>
              <w:t>74,5</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Налог на прибыль</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1372224</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18,0</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382867</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7,5</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989357</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33,0</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Налог на доходы физических лиц</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707003</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9,3</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707003</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23,6</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Налоги и взносы на социальные нужды</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267941</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3,5</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267515</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5,2</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426</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Налоги на добавленную стоимость</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1472317</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19,4</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1472211</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28,7</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106</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Акцизы</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258322</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3,4</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111754</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2,2</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146568</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4,9</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Единый налог</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71701</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1,0</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71701</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2,4</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Налог на имущество физических лиц</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4333</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0,1</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4333</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0,1</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Налог на имущество организаций</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152257</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2,0</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152257</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5,1</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Транспортный налог</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26049</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0,3</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26049</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0,9</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Налог на игорный бизнес</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21240</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0,3</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21240</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0,7</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Земельный налог</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48490</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0,6</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48490</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1,6</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Налоги, сборы и регулярные платежи за пользование природными ресурсами</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928632</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12,2</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872310</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17,0</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56322</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1,9</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Государственная пошлина</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32246</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0,4</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23590</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0,5</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8656</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0,3</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Неналоговые доходы</w:t>
            </w:r>
            <w:r w:rsidR="00923FA5" w:rsidRPr="00401538">
              <w:rPr>
                <w:color w:val="000000"/>
                <w:sz w:val="20"/>
              </w:rPr>
              <w:t xml:space="preserve"> </w:t>
            </w:r>
            <w:r w:rsidRPr="00401538">
              <w:rPr>
                <w:color w:val="000000"/>
                <w:sz w:val="20"/>
              </w:rPr>
              <w:t>из них:</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2177016</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28,6</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1908247</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37,2</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268763</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9,0</w:t>
            </w:r>
          </w:p>
        </w:tc>
      </w:tr>
      <w:tr w:rsidR="00EA5D91" w:rsidRPr="00401538" w:rsidTr="00401538">
        <w:trPr>
          <w:cantSplit/>
          <w:jc w:val="center"/>
        </w:trPr>
        <w:tc>
          <w:tcPr>
            <w:tcW w:w="1093"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Доходы от внешней экономической деятельности</w:t>
            </w:r>
          </w:p>
        </w:tc>
        <w:tc>
          <w:tcPr>
            <w:tcW w:w="83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1680806</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22,1</w:t>
            </w:r>
          </w:p>
        </w:tc>
        <w:tc>
          <w:tcPr>
            <w:tcW w:w="705"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1680806</w:t>
            </w:r>
          </w:p>
        </w:tc>
        <w:tc>
          <w:tcPr>
            <w:tcW w:w="52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32,8</w:t>
            </w:r>
          </w:p>
        </w:tc>
        <w:tc>
          <w:tcPr>
            <w:tcW w:w="776"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c>
          <w:tcPr>
            <w:tcW w:w="544" w:type="pct"/>
            <w:shd w:val="clear" w:color="auto" w:fill="auto"/>
          </w:tcPr>
          <w:p w:rsidR="00EA5D91" w:rsidRPr="00401538" w:rsidRDefault="00EA5D91" w:rsidP="00401538">
            <w:pPr>
              <w:pStyle w:val="21"/>
              <w:spacing w:after="0" w:line="360" w:lineRule="auto"/>
              <w:ind w:left="0"/>
              <w:jc w:val="both"/>
              <w:rPr>
                <w:color w:val="000000"/>
                <w:sz w:val="20"/>
              </w:rPr>
            </w:pPr>
            <w:r w:rsidRPr="00401538">
              <w:rPr>
                <w:color w:val="000000"/>
                <w:sz w:val="20"/>
              </w:rPr>
              <w:t>-</w:t>
            </w:r>
          </w:p>
        </w:tc>
      </w:tr>
    </w:tbl>
    <w:p w:rsidR="00EA5D91" w:rsidRPr="00C35783" w:rsidRDefault="00923FA5" w:rsidP="00C35783">
      <w:pPr>
        <w:autoSpaceDE w:val="0"/>
        <w:autoSpaceDN w:val="0"/>
        <w:adjustRightInd w:val="0"/>
        <w:spacing w:line="360" w:lineRule="auto"/>
        <w:ind w:firstLine="709"/>
        <w:jc w:val="both"/>
        <w:rPr>
          <w:color w:val="000000"/>
          <w:sz w:val="28"/>
          <w:szCs w:val="28"/>
        </w:rPr>
      </w:pPr>
      <w:r>
        <w:rPr>
          <w:color w:val="000000"/>
          <w:sz w:val="28"/>
          <w:szCs w:val="28"/>
        </w:rPr>
        <w:br w:type="page"/>
      </w:r>
      <w:r w:rsidR="00EA5D91" w:rsidRPr="00C35783">
        <w:rPr>
          <w:color w:val="000000"/>
          <w:sz w:val="28"/>
          <w:szCs w:val="28"/>
        </w:rPr>
        <w:t>К специальным налоговым режимам относятся: система налогообложения для сельскохозяйственных товаропроизводителей (единый сельскохозяйственный налог), упрощенная система налогообложения; система налогообложения в виде единого налога на вмененный доход для отдельных видов деятельности, система налогообложения при выполнении соглашений о разделе продукции.</w:t>
      </w:r>
    </w:p>
    <w:p w:rsidR="00EA5D91" w:rsidRPr="00C35783" w:rsidRDefault="00EA5D91" w:rsidP="00C35783">
      <w:pPr>
        <w:pStyle w:val="21"/>
        <w:spacing w:after="0" w:line="360" w:lineRule="auto"/>
        <w:ind w:left="0" w:firstLine="709"/>
        <w:jc w:val="both"/>
        <w:rPr>
          <w:color w:val="000000"/>
          <w:sz w:val="28"/>
        </w:rPr>
      </w:pPr>
      <w:r w:rsidRPr="00C35783">
        <w:rPr>
          <w:color w:val="000000"/>
          <w:sz w:val="28"/>
        </w:rPr>
        <w:t>В состав неналоговых доходов федерального бюджета, включаются доходы от внешнеэкономической деятельности, доходы от использования имущества и продажи материальных и нематериальных активов, находящихся в собственности РФ, платежи при пользовании природными ресурсами, зачисляемые в федеральный бюджет, доходы от платных услуг, оказываемых</w:t>
      </w:r>
      <w:r w:rsidR="00C35783">
        <w:rPr>
          <w:color w:val="000000"/>
          <w:sz w:val="28"/>
        </w:rPr>
        <w:t xml:space="preserve"> </w:t>
      </w:r>
      <w:r w:rsidRPr="00C35783">
        <w:rPr>
          <w:color w:val="000000"/>
          <w:sz w:val="28"/>
        </w:rPr>
        <w:t>бюджетными учреждениями, находящимися в ведении федеральных органов исполнительной власти,</w:t>
      </w:r>
      <w:r w:rsidR="00C35783">
        <w:rPr>
          <w:color w:val="000000"/>
          <w:sz w:val="28"/>
        </w:rPr>
        <w:t xml:space="preserve"> </w:t>
      </w:r>
      <w:r w:rsidRPr="00C35783">
        <w:rPr>
          <w:color w:val="000000"/>
          <w:sz w:val="28"/>
        </w:rPr>
        <w:t>иные неналоговые доходы.</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rPr>
        <w:t xml:space="preserve">Основной особенностью формирования доходов федерального бюджета в бюджетной системе РФ является высокая концентрация в нем ресурсов бюджетной системы. На 1 января </w:t>
      </w:r>
      <w:r w:rsidR="00C35783" w:rsidRPr="00C35783">
        <w:rPr>
          <w:color w:val="000000"/>
          <w:sz w:val="28"/>
        </w:rPr>
        <w:t>2010</w:t>
      </w:r>
      <w:r w:rsidR="00C35783">
        <w:rPr>
          <w:color w:val="000000"/>
          <w:sz w:val="28"/>
        </w:rPr>
        <w:t xml:space="preserve"> </w:t>
      </w:r>
      <w:r w:rsidR="00C35783" w:rsidRPr="00C35783">
        <w:rPr>
          <w:color w:val="000000"/>
          <w:sz w:val="28"/>
        </w:rPr>
        <w:t>года</w:t>
      </w:r>
      <w:r w:rsidRPr="00C35783">
        <w:rPr>
          <w:color w:val="000000"/>
          <w:sz w:val="28"/>
        </w:rPr>
        <w:t xml:space="preserve"> в составе доходов консолидированного бюджета РФ доходы федерального бюджета составили 67,</w:t>
      </w:r>
      <w:r w:rsidR="00C35783" w:rsidRPr="00C35783">
        <w:rPr>
          <w:color w:val="000000"/>
          <w:sz w:val="28"/>
        </w:rPr>
        <w:t>3</w:t>
      </w:r>
      <w:r w:rsidR="00C35783">
        <w:rPr>
          <w:color w:val="000000"/>
          <w:sz w:val="28"/>
        </w:rPr>
        <w:t>%</w:t>
      </w:r>
      <w:r w:rsidRPr="00C35783">
        <w:rPr>
          <w:color w:val="000000"/>
          <w:sz w:val="28"/>
        </w:rPr>
        <w:t xml:space="preserve"> </w:t>
      </w:r>
      <w:r w:rsidRPr="00C35783">
        <w:rPr>
          <w:color w:val="000000"/>
          <w:sz w:val="28"/>
          <w:szCs w:val="28"/>
        </w:rPr>
        <w:t>(см. табл. 1).</w:t>
      </w:r>
    </w:p>
    <w:p w:rsidR="00EA5D91" w:rsidRPr="00C35783" w:rsidRDefault="00EA5D91" w:rsidP="00C35783">
      <w:pPr>
        <w:pStyle w:val="21"/>
        <w:spacing w:after="0" w:line="360" w:lineRule="auto"/>
        <w:ind w:left="0" w:firstLine="709"/>
        <w:jc w:val="both"/>
        <w:rPr>
          <w:color w:val="000000"/>
          <w:sz w:val="28"/>
        </w:rPr>
      </w:pPr>
      <w:r w:rsidRPr="00C35783">
        <w:rPr>
          <w:color w:val="000000"/>
          <w:sz w:val="28"/>
        </w:rPr>
        <w:t>Соответственно на региональные и местные бюджеты</w:t>
      </w:r>
      <w:r w:rsidR="00C35783">
        <w:rPr>
          <w:color w:val="000000"/>
          <w:sz w:val="28"/>
        </w:rPr>
        <w:t xml:space="preserve"> </w:t>
      </w:r>
      <w:r w:rsidRPr="00C35783">
        <w:rPr>
          <w:color w:val="000000"/>
          <w:sz w:val="28"/>
        </w:rPr>
        <w:t>приходилось 32,</w:t>
      </w:r>
      <w:r w:rsidR="00C35783" w:rsidRPr="00C35783">
        <w:rPr>
          <w:color w:val="000000"/>
          <w:sz w:val="28"/>
        </w:rPr>
        <w:t>7</w:t>
      </w:r>
      <w:r w:rsidR="00C35783">
        <w:rPr>
          <w:color w:val="000000"/>
          <w:sz w:val="28"/>
        </w:rPr>
        <w:t>%</w:t>
      </w:r>
      <w:r w:rsidRPr="00C35783">
        <w:rPr>
          <w:color w:val="000000"/>
          <w:sz w:val="28"/>
        </w:rPr>
        <w:t xml:space="preserve"> доходов. По налоговым доходам сложилась несколько иная пропорция, что обусловлено изменением состава неналоговых доходов федерального бюджета в соответствии со </w:t>
      </w:r>
      <w:r w:rsidR="00C35783" w:rsidRPr="00C35783">
        <w:rPr>
          <w:color w:val="000000"/>
          <w:sz w:val="28"/>
        </w:rPr>
        <w:t>ст.</w:t>
      </w:r>
      <w:r w:rsidR="00C35783">
        <w:rPr>
          <w:color w:val="000000"/>
          <w:sz w:val="28"/>
        </w:rPr>
        <w:t> </w:t>
      </w:r>
      <w:r w:rsidR="00C35783" w:rsidRPr="00C35783">
        <w:rPr>
          <w:color w:val="000000"/>
          <w:sz w:val="28"/>
        </w:rPr>
        <w:t>5</w:t>
      </w:r>
      <w:r w:rsidRPr="00C35783">
        <w:rPr>
          <w:color w:val="000000"/>
          <w:sz w:val="28"/>
        </w:rPr>
        <w:t xml:space="preserve">1 Бюджетного кодекса РФ (ред. Федерального закона от 20.08.2004 </w:t>
      </w:r>
      <w:r w:rsidR="00C35783">
        <w:rPr>
          <w:color w:val="000000"/>
          <w:sz w:val="28"/>
        </w:rPr>
        <w:t>№</w:t>
      </w:r>
      <w:r w:rsidR="00C35783" w:rsidRPr="00C35783">
        <w:rPr>
          <w:color w:val="000000"/>
          <w:sz w:val="28"/>
        </w:rPr>
        <w:t>1</w:t>
      </w:r>
      <w:r w:rsidRPr="00C35783">
        <w:rPr>
          <w:color w:val="000000"/>
          <w:sz w:val="28"/>
        </w:rPr>
        <w:t>20</w:t>
      </w:r>
      <w:r w:rsidR="00C35783">
        <w:rPr>
          <w:color w:val="000000"/>
          <w:sz w:val="28"/>
        </w:rPr>
        <w:t>-</w:t>
      </w:r>
      <w:r w:rsidR="00C35783" w:rsidRPr="00C35783">
        <w:rPr>
          <w:color w:val="000000"/>
          <w:sz w:val="28"/>
        </w:rPr>
        <w:t>Ф</w:t>
      </w:r>
      <w:r w:rsidRPr="00C35783">
        <w:rPr>
          <w:color w:val="000000"/>
          <w:sz w:val="28"/>
        </w:rPr>
        <w:t>З с последующими изменениями). По налоговым доходам пропорция составила 58,</w:t>
      </w:r>
      <w:r w:rsidR="00C35783" w:rsidRPr="00C35783">
        <w:rPr>
          <w:color w:val="000000"/>
          <w:sz w:val="28"/>
        </w:rPr>
        <w:t>3</w:t>
      </w:r>
      <w:r w:rsidR="00C35783">
        <w:rPr>
          <w:color w:val="000000"/>
          <w:sz w:val="28"/>
        </w:rPr>
        <w:t>%</w:t>
      </w:r>
      <w:r w:rsidRPr="00C35783">
        <w:rPr>
          <w:color w:val="000000"/>
          <w:sz w:val="28"/>
        </w:rPr>
        <w:t xml:space="preserve"> и 41,</w:t>
      </w:r>
      <w:r w:rsidR="00C35783" w:rsidRPr="00C35783">
        <w:rPr>
          <w:color w:val="000000"/>
          <w:sz w:val="28"/>
        </w:rPr>
        <w:t>6</w:t>
      </w:r>
      <w:r w:rsidR="00C35783">
        <w:rPr>
          <w:color w:val="000000"/>
          <w:sz w:val="28"/>
        </w:rPr>
        <w:t>%</w:t>
      </w:r>
      <w:r w:rsidRPr="00C35783">
        <w:rPr>
          <w:color w:val="000000"/>
          <w:sz w:val="28"/>
        </w:rPr>
        <w:t xml:space="preserve"> в пользу федерального бюджета.</w:t>
      </w:r>
    </w:p>
    <w:p w:rsidR="00EA5D91" w:rsidRPr="00C35783" w:rsidRDefault="00EA5D91" w:rsidP="00C35783">
      <w:pPr>
        <w:pStyle w:val="21"/>
        <w:spacing w:after="0" w:line="360" w:lineRule="auto"/>
        <w:ind w:left="0" w:firstLine="709"/>
        <w:jc w:val="both"/>
        <w:rPr>
          <w:color w:val="000000"/>
          <w:sz w:val="28"/>
        </w:rPr>
      </w:pPr>
      <w:r w:rsidRPr="00C35783">
        <w:rPr>
          <w:color w:val="000000"/>
          <w:sz w:val="28"/>
        </w:rPr>
        <w:t>Основной объем доходов федерального бюджета обеспечивается за счет налоговых поступлений – 61,</w:t>
      </w:r>
      <w:r w:rsidR="00C35783" w:rsidRPr="00C35783">
        <w:rPr>
          <w:color w:val="000000"/>
          <w:sz w:val="28"/>
        </w:rPr>
        <w:t>1</w:t>
      </w:r>
      <w:r w:rsidR="00C35783">
        <w:rPr>
          <w:color w:val="000000"/>
          <w:sz w:val="28"/>
        </w:rPr>
        <w:t>%</w:t>
      </w:r>
      <w:r w:rsidRPr="00C35783">
        <w:rPr>
          <w:color w:val="000000"/>
          <w:sz w:val="28"/>
        </w:rPr>
        <w:t>. Доля неналоговых доходов (без учета поступлений в виде таможенных пошлин и сборов в составе доходов от внешнеэкономической деятельности) является незначительной – 4,</w:t>
      </w:r>
      <w:r w:rsidR="00C35783" w:rsidRPr="00C35783">
        <w:rPr>
          <w:color w:val="000000"/>
          <w:sz w:val="28"/>
        </w:rPr>
        <w:t>4</w:t>
      </w:r>
      <w:r w:rsidR="00C35783">
        <w:rPr>
          <w:color w:val="000000"/>
          <w:sz w:val="28"/>
        </w:rPr>
        <w:t>%</w:t>
      </w:r>
      <w:r w:rsidRPr="00C35783">
        <w:rPr>
          <w:color w:val="000000"/>
          <w:sz w:val="28"/>
        </w:rPr>
        <w:t>. В</w:t>
      </w:r>
      <w:r w:rsidR="00C35783">
        <w:rPr>
          <w:color w:val="000000"/>
          <w:sz w:val="28"/>
        </w:rPr>
        <w:t xml:space="preserve"> </w:t>
      </w:r>
      <w:r w:rsidRPr="00C35783">
        <w:rPr>
          <w:color w:val="000000"/>
          <w:sz w:val="28"/>
        </w:rPr>
        <w:t>структуре налоговых доходов, основные поступления формируются за счет: налога на прибыль организаций – 7,</w:t>
      </w:r>
      <w:r w:rsidR="00C35783" w:rsidRPr="00C35783">
        <w:rPr>
          <w:color w:val="000000"/>
          <w:sz w:val="28"/>
        </w:rPr>
        <w:t>5</w:t>
      </w:r>
      <w:r w:rsidR="00C35783">
        <w:rPr>
          <w:color w:val="000000"/>
          <w:sz w:val="28"/>
        </w:rPr>
        <w:t>%</w:t>
      </w:r>
      <w:r w:rsidRPr="00C35783">
        <w:rPr>
          <w:color w:val="000000"/>
          <w:sz w:val="28"/>
        </w:rPr>
        <w:t>, НДС –28,</w:t>
      </w:r>
      <w:r w:rsidR="00C35783" w:rsidRPr="00C35783">
        <w:rPr>
          <w:color w:val="000000"/>
          <w:sz w:val="28"/>
        </w:rPr>
        <w:t>7</w:t>
      </w:r>
      <w:r w:rsidR="00C35783">
        <w:rPr>
          <w:color w:val="000000"/>
          <w:sz w:val="28"/>
        </w:rPr>
        <w:t>%</w:t>
      </w:r>
      <w:r w:rsidRPr="00C35783">
        <w:rPr>
          <w:color w:val="000000"/>
          <w:sz w:val="28"/>
        </w:rPr>
        <w:t>, акцизов –2,</w:t>
      </w:r>
      <w:r w:rsidR="00C35783" w:rsidRPr="00C35783">
        <w:rPr>
          <w:color w:val="000000"/>
          <w:sz w:val="28"/>
        </w:rPr>
        <w:t>2</w:t>
      </w:r>
      <w:r w:rsidR="00C35783">
        <w:rPr>
          <w:color w:val="000000"/>
          <w:sz w:val="28"/>
        </w:rPr>
        <w:t>%</w:t>
      </w:r>
      <w:r w:rsidRPr="00C35783">
        <w:rPr>
          <w:rStyle w:val="aa"/>
          <w:color w:val="000000"/>
          <w:sz w:val="28"/>
        </w:rPr>
        <w:t>.</w:t>
      </w:r>
      <w:r w:rsidRPr="00C35783">
        <w:rPr>
          <w:color w:val="000000"/>
          <w:sz w:val="28"/>
        </w:rPr>
        <w:t>, налогов, сборов и регулярных платежей за пользование природными ресурсами – 17,</w:t>
      </w:r>
      <w:r w:rsidR="00C35783" w:rsidRPr="00C35783">
        <w:rPr>
          <w:color w:val="000000"/>
          <w:sz w:val="28"/>
        </w:rPr>
        <w:t>0</w:t>
      </w:r>
      <w:r w:rsidR="00C35783">
        <w:rPr>
          <w:color w:val="000000"/>
          <w:sz w:val="28"/>
        </w:rPr>
        <w:t>%</w:t>
      </w:r>
      <w:r w:rsidRPr="00C35783">
        <w:rPr>
          <w:color w:val="000000"/>
          <w:sz w:val="28"/>
        </w:rPr>
        <w:t>.</w:t>
      </w:r>
    </w:p>
    <w:p w:rsidR="00EA5D91" w:rsidRPr="00C35783" w:rsidRDefault="00EA5D91" w:rsidP="00C35783">
      <w:pPr>
        <w:pStyle w:val="a3"/>
        <w:ind w:firstLine="709"/>
        <w:jc w:val="both"/>
        <w:rPr>
          <w:color w:val="000000"/>
          <w:szCs w:val="28"/>
        </w:rPr>
      </w:pPr>
      <w:r w:rsidRPr="00C35783">
        <w:rPr>
          <w:color w:val="000000"/>
          <w:szCs w:val="28"/>
        </w:rPr>
        <w:t>Налоговые доходы бюджетов субъектов РФ образуются за счет федеральных налогов и сборов, налогов, предусмотренных специальными налоговыми режимами, зачисляемыми в региональные бюджеты в соответствии с действующим законодательством; региональных налогов и сборов, в состав которых включаются: налог на имущество организаций; налог на игорный бизнес; транспортный налог.</w:t>
      </w:r>
    </w:p>
    <w:p w:rsidR="00EA5D91" w:rsidRPr="00C35783" w:rsidRDefault="00EA5D91" w:rsidP="00C35783">
      <w:pPr>
        <w:pStyle w:val="a3"/>
        <w:ind w:firstLine="709"/>
        <w:jc w:val="both"/>
        <w:rPr>
          <w:color w:val="000000"/>
          <w:szCs w:val="28"/>
        </w:rPr>
      </w:pPr>
      <w:r w:rsidRPr="00C35783">
        <w:rPr>
          <w:color w:val="000000"/>
          <w:szCs w:val="28"/>
        </w:rPr>
        <w:t>Неналоговые доходы бюджетов субъектов РФ формируются за счет доходов от использования имущества и продажи материальных и нематериальных активов, находящихся в собственности субъектов РФ, платежей при пользовании природными ресурсами, зачисляемыми в бюджет субъекта РФ, доходы от платных услуг, оказываемых</w:t>
      </w:r>
      <w:r w:rsidR="00C35783">
        <w:rPr>
          <w:color w:val="000000"/>
          <w:szCs w:val="28"/>
        </w:rPr>
        <w:t xml:space="preserve"> </w:t>
      </w:r>
      <w:r w:rsidRPr="00C35783">
        <w:rPr>
          <w:color w:val="000000"/>
          <w:szCs w:val="28"/>
        </w:rPr>
        <w:t>бюджетными учреждениями, находящимися в ведении органов исполнительной власти субъектов РФ, иные неналоговые доходы.</w:t>
      </w:r>
    </w:p>
    <w:p w:rsidR="00C35783" w:rsidRDefault="00EA5D91" w:rsidP="00C35783">
      <w:pPr>
        <w:autoSpaceDE w:val="0"/>
        <w:autoSpaceDN w:val="0"/>
        <w:adjustRightInd w:val="0"/>
        <w:spacing w:line="360" w:lineRule="auto"/>
        <w:ind w:firstLine="709"/>
        <w:jc w:val="both"/>
        <w:rPr>
          <w:color w:val="000000"/>
          <w:sz w:val="28"/>
        </w:rPr>
      </w:pPr>
      <w:r w:rsidRPr="00C35783">
        <w:rPr>
          <w:color w:val="000000"/>
          <w:sz w:val="28"/>
        </w:rPr>
        <w:t>Особенностью формирования доходов бюджетов субъектов РФ</w:t>
      </w:r>
      <w:r w:rsidR="00C35783">
        <w:rPr>
          <w:color w:val="000000"/>
          <w:sz w:val="28"/>
        </w:rPr>
        <w:t xml:space="preserve"> </w:t>
      </w:r>
      <w:r w:rsidRPr="00C35783">
        <w:rPr>
          <w:color w:val="000000"/>
          <w:sz w:val="28"/>
        </w:rPr>
        <w:t xml:space="preserve">является недостаточный объем в них региональных налогов. В составе доходов консолидированного бюджета РФ на 1 января </w:t>
      </w:r>
      <w:r w:rsidR="00C35783" w:rsidRPr="00C35783">
        <w:rPr>
          <w:color w:val="000000"/>
          <w:sz w:val="28"/>
        </w:rPr>
        <w:t>2006</w:t>
      </w:r>
      <w:r w:rsidR="00C35783">
        <w:rPr>
          <w:color w:val="000000"/>
          <w:sz w:val="28"/>
        </w:rPr>
        <w:t xml:space="preserve"> </w:t>
      </w:r>
      <w:r w:rsidR="00C35783" w:rsidRPr="00C35783">
        <w:rPr>
          <w:color w:val="000000"/>
          <w:sz w:val="28"/>
        </w:rPr>
        <w:t>года</w:t>
      </w:r>
      <w:r w:rsidRPr="00C35783">
        <w:rPr>
          <w:color w:val="000000"/>
          <w:sz w:val="28"/>
        </w:rPr>
        <w:t>, доля региональных налогов, находящихся в компетенции органов власти субъектов РФ (налог на имущество организаций; налог на игорный бизнес; транспортный налог) составляла всего 2,</w:t>
      </w:r>
      <w:r w:rsidR="00C35783" w:rsidRPr="00C35783">
        <w:rPr>
          <w:color w:val="000000"/>
          <w:sz w:val="28"/>
        </w:rPr>
        <w:t>6</w:t>
      </w:r>
      <w:r w:rsidR="00C35783">
        <w:rPr>
          <w:color w:val="000000"/>
          <w:sz w:val="28"/>
        </w:rPr>
        <w:t>%</w:t>
      </w:r>
      <w:r w:rsidRPr="00C35783">
        <w:rPr>
          <w:color w:val="000000"/>
          <w:sz w:val="28"/>
        </w:rPr>
        <w:t xml:space="preserve"> (</w:t>
      </w:r>
      <w:r w:rsidR="00C35783" w:rsidRPr="00C35783">
        <w:rPr>
          <w:color w:val="000000"/>
          <w:sz w:val="28"/>
        </w:rPr>
        <w:t>см.</w:t>
      </w:r>
      <w:r w:rsidR="00C35783">
        <w:rPr>
          <w:color w:val="000000"/>
          <w:sz w:val="28"/>
        </w:rPr>
        <w:t xml:space="preserve"> </w:t>
      </w:r>
      <w:r w:rsidR="00C35783" w:rsidRPr="00C35783">
        <w:rPr>
          <w:color w:val="000000"/>
          <w:sz w:val="28"/>
        </w:rPr>
        <w:t>т</w:t>
      </w:r>
      <w:r w:rsidRPr="00C35783">
        <w:rPr>
          <w:color w:val="000000"/>
          <w:sz w:val="28"/>
        </w:rPr>
        <w:t>абл. 4.1). Таким образом, основной контингент налоговых поступлений в бюджетах субъектов РФ образуется за счет совместного использования федеральных налогов.</w:t>
      </w:r>
    </w:p>
    <w:p w:rsidR="00EA5D91" w:rsidRPr="00C35783" w:rsidRDefault="00EA5D91" w:rsidP="00C35783">
      <w:pPr>
        <w:autoSpaceDE w:val="0"/>
        <w:autoSpaceDN w:val="0"/>
        <w:adjustRightInd w:val="0"/>
        <w:spacing w:line="360" w:lineRule="auto"/>
        <w:ind w:firstLine="709"/>
        <w:jc w:val="both"/>
        <w:rPr>
          <w:color w:val="000000"/>
          <w:sz w:val="28"/>
          <w:szCs w:val="28"/>
        </w:rPr>
      </w:pPr>
      <w:r w:rsidRPr="00C35783">
        <w:rPr>
          <w:color w:val="000000"/>
          <w:sz w:val="28"/>
        </w:rPr>
        <w:t xml:space="preserve">На 1 января 2006 года </w:t>
      </w:r>
      <w:r w:rsidRPr="00C35783">
        <w:rPr>
          <w:color w:val="000000"/>
          <w:sz w:val="28"/>
          <w:szCs w:val="28"/>
        </w:rPr>
        <w:t>объем налоговых доходов в консолидированных бюджетах субъектов РФ составил 74,</w:t>
      </w:r>
      <w:r w:rsidR="00C35783" w:rsidRPr="00C35783">
        <w:rPr>
          <w:color w:val="000000"/>
          <w:sz w:val="28"/>
          <w:szCs w:val="28"/>
        </w:rPr>
        <w:t>5</w:t>
      </w:r>
      <w:r w:rsidR="00C35783">
        <w:rPr>
          <w:color w:val="000000"/>
          <w:sz w:val="28"/>
          <w:szCs w:val="28"/>
        </w:rPr>
        <w:t>%</w:t>
      </w:r>
      <w:r w:rsidRPr="00C35783">
        <w:rPr>
          <w:color w:val="000000"/>
          <w:sz w:val="28"/>
          <w:szCs w:val="28"/>
        </w:rPr>
        <w:t xml:space="preserve">, неналоговых доходов </w:t>
      </w:r>
      <w:r w:rsidR="00C35783">
        <w:rPr>
          <w:color w:val="000000"/>
          <w:sz w:val="28"/>
          <w:szCs w:val="28"/>
        </w:rPr>
        <w:t>–</w:t>
      </w:r>
      <w:r w:rsidR="00C35783" w:rsidRPr="00C35783">
        <w:rPr>
          <w:color w:val="000000"/>
          <w:sz w:val="28"/>
          <w:szCs w:val="28"/>
        </w:rPr>
        <w:t xml:space="preserve"> </w:t>
      </w:r>
      <w:r w:rsidRPr="00C35783">
        <w:rPr>
          <w:color w:val="000000"/>
          <w:sz w:val="28"/>
          <w:szCs w:val="28"/>
        </w:rPr>
        <w:t>9,</w:t>
      </w:r>
      <w:r w:rsidR="00C35783" w:rsidRPr="00C35783">
        <w:rPr>
          <w:color w:val="000000"/>
          <w:sz w:val="28"/>
          <w:szCs w:val="28"/>
        </w:rPr>
        <w:t>0</w:t>
      </w:r>
      <w:r w:rsidR="00C35783">
        <w:rPr>
          <w:color w:val="000000"/>
          <w:sz w:val="28"/>
          <w:szCs w:val="28"/>
        </w:rPr>
        <w:t>%</w:t>
      </w:r>
      <w:r w:rsidRPr="00C35783">
        <w:rPr>
          <w:color w:val="000000"/>
          <w:sz w:val="28"/>
          <w:szCs w:val="28"/>
        </w:rPr>
        <w:t>. В структуре налоговых поступлений</w:t>
      </w:r>
      <w:r w:rsidRPr="00C35783">
        <w:rPr>
          <w:color w:val="000000"/>
          <w:sz w:val="28"/>
        </w:rPr>
        <w:t xml:space="preserve"> основную долю составляли</w:t>
      </w:r>
      <w:r w:rsidRPr="00C35783">
        <w:rPr>
          <w:color w:val="000000"/>
          <w:sz w:val="28"/>
          <w:szCs w:val="28"/>
        </w:rPr>
        <w:t xml:space="preserve"> налог на прибыль </w:t>
      </w:r>
      <w:r w:rsidR="00C35783">
        <w:rPr>
          <w:color w:val="000000"/>
          <w:sz w:val="28"/>
          <w:szCs w:val="28"/>
        </w:rPr>
        <w:t>–</w:t>
      </w:r>
      <w:r w:rsidR="00C35783" w:rsidRPr="00C35783">
        <w:rPr>
          <w:color w:val="000000"/>
          <w:sz w:val="28"/>
          <w:szCs w:val="28"/>
        </w:rPr>
        <w:t xml:space="preserve"> </w:t>
      </w:r>
      <w:r w:rsidRPr="00C35783">
        <w:rPr>
          <w:color w:val="000000"/>
          <w:sz w:val="28"/>
          <w:szCs w:val="28"/>
        </w:rPr>
        <w:t>33,</w:t>
      </w:r>
      <w:r w:rsidR="00C35783" w:rsidRPr="00C35783">
        <w:rPr>
          <w:color w:val="000000"/>
          <w:sz w:val="28"/>
          <w:szCs w:val="28"/>
        </w:rPr>
        <w:t>0</w:t>
      </w:r>
      <w:r w:rsidR="00C35783">
        <w:rPr>
          <w:color w:val="000000"/>
          <w:sz w:val="28"/>
          <w:szCs w:val="28"/>
        </w:rPr>
        <w:t>%</w:t>
      </w:r>
      <w:r w:rsidRPr="00C35783">
        <w:rPr>
          <w:color w:val="000000"/>
          <w:sz w:val="28"/>
          <w:szCs w:val="28"/>
        </w:rPr>
        <w:t>, налог на доходы физических лиц – 23,</w:t>
      </w:r>
      <w:r w:rsidR="00C35783" w:rsidRPr="00C35783">
        <w:rPr>
          <w:color w:val="000000"/>
          <w:sz w:val="28"/>
          <w:szCs w:val="28"/>
        </w:rPr>
        <w:t>6</w:t>
      </w:r>
      <w:r w:rsidR="00C35783">
        <w:rPr>
          <w:color w:val="000000"/>
          <w:sz w:val="28"/>
          <w:szCs w:val="28"/>
        </w:rPr>
        <w:t>%</w:t>
      </w:r>
      <w:r w:rsidRPr="00C35783">
        <w:rPr>
          <w:color w:val="000000"/>
          <w:sz w:val="28"/>
          <w:szCs w:val="28"/>
        </w:rPr>
        <w:t>, акцизы – 4,</w:t>
      </w:r>
      <w:r w:rsidR="00C35783" w:rsidRPr="00C35783">
        <w:rPr>
          <w:color w:val="000000"/>
          <w:sz w:val="28"/>
          <w:szCs w:val="28"/>
        </w:rPr>
        <w:t>9</w:t>
      </w:r>
      <w:r w:rsidR="00C35783">
        <w:rPr>
          <w:color w:val="000000"/>
          <w:sz w:val="28"/>
          <w:szCs w:val="28"/>
        </w:rPr>
        <w:t>%</w:t>
      </w:r>
      <w:r w:rsidRPr="00C35783">
        <w:rPr>
          <w:color w:val="000000"/>
          <w:sz w:val="28"/>
          <w:szCs w:val="28"/>
        </w:rPr>
        <w:t>, налог на имущество организаций – 5,</w:t>
      </w:r>
      <w:r w:rsidR="00C35783" w:rsidRPr="00C35783">
        <w:rPr>
          <w:color w:val="000000"/>
          <w:sz w:val="28"/>
          <w:szCs w:val="28"/>
        </w:rPr>
        <w:t>1</w:t>
      </w:r>
      <w:r w:rsidR="00C35783">
        <w:rPr>
          <w:color w:val="000000"/>
          <w:sz w:val="28"/>
          <w:szCs w:val="28"/>
        </w:rPr>
        <w:t>%</w:t>
      </w:r>
      <w:r w:rsidRPr="00C35783">
        <w:rPr>
          <w:color w:val="000000"/>
          <w:sz w:val="28"/>
          <w:szCs w:val="28"/>
        </w:rPr>
        <w:t>.</w:t>
      </w:r>
    </w:p>
    <w:p w:rsidR="00EA5D91" w:rsidRPr="00C35783" w:rsidRDefault="00EA5D91" w:rsidP="00C35783">
      <w:pPr>
        <w:pStyle w:val="3"/>
        <w:spacing w:after="0" w:line="360" w:lineRule="auto"/>
        <w:ind w:left="0" w:firstLine="709"/>
        <w:jc w:val="both"/>
        <w:rPr>
          <w:color w:val="000000"/>
          <w:sz w:val="28"/>
          <w:szCs w:val="28"/>
        </w:rPr>
      </w:pPr>
      <w:r w:rsidRPr="00C35783">
        <w:rPr>
          <w:color w:val="000000"/>
          <w:sz w:val="28"/>
        </w:rPr>
        <w:t>Налоговые доходы местных бюджетов образуются за счет федеральных и</w:t>
      </w:r>
      <w:r w:rsidR="00C35783">
        <w:rPr>
          <w:color w:val="000000"/>
          <w:sz w:val="28"/>
        </w:rPr>
        <w:t xml:space="preserve"> </w:t>
      </w:r>
      <w:r w:rsidRPr="00C35783">
        <w:rPr>
          <w:color w:val="000000"/>
          <w:sz w:val="28"/>
        </w:rPr>
        <w:t>региональных налогов и сборов, зачисляемых в порядке, предусмотренном действующим законодательством, а также, местных налогов и сборов.</w:t>
      </w:r>
      <w:r w:rsidRPr="00C35783">
        <w:rPr>
          <w:color w:val="000000"/>
          <w:sz w:val="28"/>
          <w:szCs w:val="28"/>
        </w:rPr>
        <w:t xml:space="preserve"> К местным налогам и сборам относятся: налог на имущество физических лиц и земельный налог.</w:t>
      </w:r>
    </w:p>
    <w:p w:rsidR="00EA5D91" w:rsidRPr="00C35783" w:rsidRDefault="00EA5D91" w:rsidP="00C35783">
      <w:pPr>
        <w:pStyle w:val="21"/>
        <w:spacing w:after="0" w:line="360" w:lineRule="auto"/>
        <w:ind w:left="0" w:firstLine="709"/>
        <w:jc w:val="both"/>
        <w:rPr>
          <w:color w:val="000000"/>
          <w:sz w:val="28"/>
        </w:rPr>
      </w:pPr>
      <w:r w:rsidRPr="00C35783">
        <w:rPr>
          <w:color w:val="000000"/>
          <w:sz w:val="28"/>
        </w:rPr>
        <w:t>Неналоговые доходы местных бюджетов формируются за счет доходов от использования имущества и продажи материальных и нематериальных активов, находящихся в муниципальной собственности, платежей при пользовании природными ресурсами, зачисляемыми в местные бюджеты доходов от платных услуг, оказываемых</w:t>
      </w:r>
      <w:r w:rsidR="00C35783">
        <w:rPr>
          <w:color w:val="000000"/>
          <w:sz w:val="28"/>
        </w:rPr>
        <w:t xml:space="preserve"> </w:t>
      </w:r>
      <w:r w:rsidRPr="00C35783">
        <w:rPr>
          <w:color w:val="000000"/>
          <w:sz w:val="28"/>
        </w:rPr>
        <w:t>бюджетными учреждениями, находящимися в ведении местных органов власти, иные неналоговые доходы.</w:t>
      </w:r>
    </w:p>
    <w:p w:rsidR="00EA5D91" w:rsidRDefault="00EA5D91" w:rsidP="00C35783">
      <w:pPr>
        <w:autoSpaceDE w:val="0"/>
        <w:autoSpaceDN w:val="0"/>
        <w:adjustRightInd w:val="0"/>
        <w:spacing w:line="360" w:lineRule="auto"/>
        <w:ind w:firstLine="709"/>
        <w:jc w:val="both"/>
        <w:rPr>
          <w:color w:val="000000"/>
          <w:sz w:val="28"/>
        </w:rPr>
      </w:pPr>
      <w:r w:rsidRPr="00C35783">
        <w:rPr>
          <w:color w:val="000000"/>
          <w:sz w:val="28"/>
        </w:rPr>
        <w:t>Формирование местных бюджетов, также как и региональных осуществляется не на собственной налоговой базе. На 1 января 2010 года, доля местных налогов в консолидированном бюджете РФ составляла только 0,</w:t>
      </w:r>
      <w:r w:rsidR="00C35783" w:rsidRPr="00C35783">
        <w:rPr>
          <w:color w:val="000000"/>
          <w:sz w:val="28"/>
        </w:rPr>
        <w:t>8</w:t>
      </w:r>
      <w:r w:rsidR="00C35783">
        <w:rPr>
          <w:color w:val="000000"/>
          <w:sz w:val="28"/>
        </w:rPr>
        <w:t>%</w:t>
      </w:r>
      <w:r w:rsidRPr="00C35783">
        <w:rPr>
          <w:color w:val="000000"/>
          <w:sz w:val="28"/>
        </w:rPr>
        <w:t xml:space="preserve"> (см. табл. 1). Незначительный</w:t>
      </w:r>
      <w:r w:rsidR="00C35783">
        <w:rPr>
          <w:color w:val="000000"/>
          <w:sz w:val="28"/>
        </w:rPr>
        <w:t xml:space="preserve"> </w:t>
      </w:r>
      <w:r w:rsidRPr="00C35783">
        <w:rPr>
          <w:color w:val="000000"/>
          <w:sz w:val="28"/>
        </w:rPr>
        <w:t>контингент налога на имущество физических лиц и земельного налога в бюджетной системе страны обусловливает формирование налоговых доходов местных бюджетов за счет совместного использования федеральных и региональных налогов, что вносит элементы условности в оценку местных бюджетов как самостоятельного</w:t>
      </w:r>
      <w:r w:rsidR="00C35783">
        <w:rPr>
          <w:color w:val="000000"/>
          <w:sz w:val="28"/>
        </w:rPr>
        <w:t xml:space="preserve"> </w:t>
      </w:r>
      <w:r w:rsidRPr="00C35783">
        <w:rPr>
          <w:color w:val="000000"/>
          <w:sz w:val="28"/>
        </w:rPr>
        <w:t>звена бюджетной системы и</w:t>
      </w:r>
      <w:r w:rsidR="00C35783">
        <w:rPr>
          <w:color w:val="000000"/>
          <w:sz w:val="28"/>
        </w:rPr>
        <w:t xml:space="preserve"> </w:t>
      </w:r>
      <w:r w:rsidRPr="00C35783">
        <w:rPr>
          <w:color w:val="000000"/>
          <w:sz w:val="28"/>
        </w:rPr>
        <w:t xml:space="preserve">выдвигает важнейшую задачу </w:t>
      </w:r>
      <w:r w:rsidR="00C35783">
        <w:rPr>
          <w:color w:val="000000"/>
          <w:sz w:val="28"/>
        </w:rPr>
        <w:t>–</w:t>
      </w:r>
      <w:r w:rsidR="00C35783" w:rsidRPr="00C35783">
        <w:rPr>
          <w:color w:val="000000"/>
          <w:sz w:val="28"/>
        </w:rPr>
        <w:t xml:space="preserve"> </w:t>
      </w:r>
      <w:r w:rsidRPr="00C35783">
        <w:rPr>
          <w:color w:val="000000"/>
          <w:sz w:val="28"/>
        </w:rPr>
        <w:t>развития н</w:t>
      </w:r>
      <w:r w:rsidR="006E6BFC" w:rsidRPr="00C35783">
        <w:rPr>
          <w:color w:val="000000"/>
          <w:sz w:val="28"/>
        </w:rPr>
        <w:t>алоговой базы местных бюджетов.</w:t>
      </w:r>
    </w:p>
    <w:p w:rsidR="00C35783" w:rsidRPr="00C35783" w:rsidRDefault="00C35783" w:rsidP="00C35783">
      <w:pPr>
        <w:autoSpaceDE w:val="0"/>
        <w:autoSpaceDN w:val="0"/>
        <w:adjustRightInd w:val="0"/>
        <w:spacing w:line="360" w:lineRule="auto"/>
        <w:ind w:firstLine="709"/>
        <w:jc w:val="both"/>
        <w:rPr>
          <w:color w:val="FFFFFF"/>
          <w:sz w:val="28"/>
        </w:rPr>
      </w:pPr>
    </w:p>
    <w:p w:rsidR="00C35783" w:rsidRPr="00C35783" w:rsidRDefault="00C35783" w:rsidP="00C35783">
      <w:pPr>
        <w:autoSpaceDE w:val="0"/>
        <w:autoSpaceDN w:val="0"/>
        <w:adjustRightInd w:val="0"/>
        <w:spacing w:line="360" w:lineRule="auto"/>
        <w:ind w:firstLine="709"/>
        <w:jc w:val="both"/>
        <w:rPr>
          <w:color w:val="000000"/>
          <w:sz w:val="28"/>
        </w:rPr>
      </w:pPr>
      <w:bookmarkStart w:id="0" w:name="_GoBack"/>
      <w:bookmarkEnd w:id="0"/>
    </w:p>
    <w:sectPr w:rsidR="00C35783" w:rsidRPr="00C35783" w:rsidSect="00C35783">
      <w:headerReference w:type="default" r:id="rId7"/>
      <w:footerReference w:type="even" r:id="rId8"/>
      <w:headerReference w:type="firs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538" w:rsidRDefault="00401538">
      <w:r>
        <w:separator/>
      </w:r>
    </w:p>
  </w:endnote>
  <w:endnote w:type="continuationSeparator" w:id="0">
    <w:p w:rsidR="00401538" w:rsidRDefault="0040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BFC" w:rsidRDefault="006E6BFC">
    <w:pPr>
      <w:pStyle w:val="a5"/>
      <w:framePr w:wrap="around" w:vAnchor="text" w:hAnchor="margin" w:xAlign="right" w:y="1"/>
      <w:rPr>
        <w:rStyle w:val="a7"/>
      </w:rPr>
    </w:pPr>
  </w:p>
  <w:p w:rsidR="006E6BFC" w:rsidRDefault="006E6B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538" w:rsidRDefault="00401538">
      <w:r>
        <w:separator/>
      </w:r>
    </w:p>
  </w:footnote>
  <w:footnote w:type="continuationSeparator" w:id="0">
    <w:p w:rsidR="00401538" w:rsidRDefault="00401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783" w:rsidRPr="00C35783" w:rsidRDefault="00C35783" w:rsidP="00C35783">
    <w:pPr>
      <w:pStyle w:val="ac"/>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783" w:rsidRPr="00C35783" w:rsidRDefault="00C35783" w:rsidP="00C35783">
    <w:pPr>
      <w:pStyle w:val="ac"/>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127"/>
    <w:multiLevelType w:val="hybridMultilevel"/>
    <w:tmpl w:val="B34268E2"/>
    <w:lvl w:ilvl="0" w:tplc="091E2D7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FA91250"/>
    <w:multiLevelType w:val="hybridMultilevel"/>
    <w:tmpl w:val="8A3A47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30FE2A3E"/>
    <w:multiLevelType w:val="hybridMultilevel"/>
    <w:tmpl w:val="7F8820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AEE6DEA"/>
    <w:multiLevelType w:val="hybridMultilevel"/>
    <w:tmpl w:val="B46E4ED2"/>
    <w:lvl w:ilvl="0" w:tplc="A34C4D42">
      <w:start w:val="2"/>
      <w:numFmt w:val="bullet"/>
      <w:lvlRestart w:val="0"/>
      <w:lvlText w:val=""/>
      <w:lvlJc w:val="left"/>
      <w:pPr>
        <w:tabs>
          <w:tab w:val="num" w:pos="0"/>
        </w:tabs>
        <w:ind w:left="340" w:hanging="340"/>
      </w:pPr>
      <w:rPr>
        <w:rFonts w:ascii="Symbol" w:hAnsi="Symbol" w:hint="default"/>
        <w:b w:val="0"/>
        <w:i w:val="0"/>
        <w:caps w:val="0"/>
        <w:strike w:val="0"/>
        <w:dstrike w:val="0"/>
        <w:outline w:val="0"/>
        <w:shadow w:val="0"/>
        <w:emboss w:val="0"/>
        <w:imprint w:val="0"/>
        <w:vanish w:val="0"/>
        <w:sz w:val="24"/>
        <w:vertAlign w:val="baseline"/>
      </w:rPr>
    </w:lvl>
    <w:lvl w:ilvl="1" w:tplc="04190001">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sz w:val="24"/>
        <w:vertAlign w:val="baseli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825197B"/>
    <w:multiLevelType w:val="hybridMultilevel"/>
    <w:tmpl w:val="98686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75342F58"/>
    <w:multiLevelType w:val="hybridMultilevel"/>
    <w:tmpl w:val="18D029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D91"/>
    <w:rsid w:val="00000EE3"/>
    <w:rsid w:val="00001141"/>
    <w:rsid w:val="000173A1"/>
    <w:rsid w:val="00023B28"/>
    <w:rsid w:val="000257EB"/>
    <w:rsid w:val="000344A0"/>
    <w:rsid w:val="000364A0"/>
    <w:rsid w:val="0003687B"/>
    <w:rsid w:val="000375B1"/>
    <w:rsid w:val="00051A21"/>
    <w:rsid w:val="000662B6"/>
    <w:rsid w:val="00071BCA"/>
    <w:rsid w:val="00076FB8"/>
    <w:rsid w:val="0008611E"/>
    <w:rsid w:val="00093A14"/>
    <w:rsid w:val="000B510C"/>
    <w:rsid w:val="000B6FD5"/>
    <w:rsid w:val="000C451C"/>
    <w:rsid w:val="000C7BFA"/>
    <w:rsid w:val="000E106A"/>
    <w:rsid w:val="000F1A15"/>
    <w:rsid w:val="001202AA"/>
    <w:rsid w:val="00126713"/>
    <w:rsid w:val="001275A7"/>
    <w:rsid w:val="001375BD"/>
    <w:rsid w:val="00141333"/>
    <w:rsid w:val="00144349"/>
    <w:rsid w:val="001464D6"/>
    <w:rsid w:val="00155379"/>
    <w:rsid w:val="00156A51"/>
    <w:rsid w:val="001657D1"/>
    <w:rsid w:val="0017413F"/>
    <w:rsid w:val="0018296E"/>
    <w:rsid w:val="001864F0"/>
    <w:rsid w:val="001A2004"/>
    <w:rsid w:val="001A6AB3"/>
    <w:rsid w:val="001A6B16"/>
    <w:rsid w:val="001C6D17"/>
    <w:rsid w:val="001D5760"/>
    <w:rsid w:val="001F498C"/>
    <w:rsid w:val="001F564C"/>
    <w:rsid w:val="00205FAB"/>
    <w:rsid w:val="0021112C"/>
    <w:rsid w:val="002139F5"/>
    <w:rsid w:val="0021448D"/>
    <w:rsid w:val="00220309"/>
    <w:rsid w:val="00234BC4"/>
    <w:rsid w:val="00236514"/>
    <w:rsid w:val="00257CD9"/>
    <w:rsid w:val="00260A71"/>
    <w:rsid w:val="00262E62"/>
    <w:rsid w:val="0027459E"/>
    <w:rsid w:val="00277813"/>
    <w:rsid w:val="002816CE"/>
    <w:rsid w:val="002830D1"/>
    <w:rsid w:val="00283740"/>
    <w:rsid w:val="00293744"/>
    <w:rsid w:val="00293E6B"/>
    <w:rsid w:val="00296E4C"/>
    <w:rsid w:val="002A2FA0"/>
    <w:rsid w:val="002A5909"/>
    <w:rsid w:val="002B2D46"/>
    <w:rsid w:val="002B66BF"/>
    <w:rsid w:val="002C5077"/>
    <w:rsid w:val="002C6ECE"/>
    <w:rsid w:val="002D10D5"/>
    <w:rsid w:val="002D7CF7"/>
    <w:rsid w:val="002E3D47"/>
    <w:rsid w:val="002E45D7"/>
    <w:rsid w:val="002E5123"/>
    <w:rsid w:val="002E530E"/>
    <w:rsid w:val="00314501"/>
    <w:rsid w:val="00322047"/>
    <w:rsid w:val="00333BDC"/>
    <w:rsid w:val="00340A23"/>
    <w:rsid w:val="0034328E"/>
    <w:rsid w:val="003515CA"/>
    <w:rsid w:val="0036622D"/>
    <w:rsid w:val="003B349C"/>
    <w:rsid w:val="003B7C06"/>
    <w:rsid w:val="003D039D"/>
    <w:rsid w:val="003D74D6"/>
    <w:rsid w:val="003E19F7"/>
    <w:rsid w:val="003F7EAC"/>
    <w:rsid w:val="00401538"/>
    <w:rsid w:val="0040221B"/>
    <w:rsid w:val="0040559E"/>
    <w:rsid w:val="0041190D"/>
    <w:rsid w:val="00417A65"/>
    <w:rsid w:val="00420ECF"/>
    <w:rsid w:val="00422DD1"/>
    <w:rsid w:val="00431B4E"/>
    <w:rsid w:val="00451A7A"/>
    <w:rsid w:val="00456885"/>
    <w:rsid w:val="00461D28"/>
    <w:rsid w:val="00461E32"/>
    <w:rsid w:val="00472168"/>
    <w:rsid w:val="0047513F"/>
    <w:rsid w:val="0047723E"/>
    <w:rsid w:val="004925A8"/>
    <w:rsid w:val="00493F6A"/>
    <w:rsid w:val="004A0CD1"/>
    <w:rsid w:val="004A7AB4"/>
    <w:rsid w:val="004B52E0"/>
    <w:rsid w:val="004C432A"/>
    <w:rsid w:val="004D3F8D"/>
    <w:rsid w:val="004E366F"/>
    <w:rsid w:val="004E594B"/>
    <w:rsid w:val="00500B59"/>
    <w:rsid w:val="00502FD4"/>
    <w:rsid w:val="00511340"/>
    <w:rsid w:val="00513118"/>
    <w:rsid w:val="00530F7A"/>
    <w:rsid w:val="00534D5F"/>
    <w:rsid w:val="00542401"/>
    <w:rsid w:val="00551E4E"/>
    <w:rsid w:val="005651F5"/>
    <w:rsid w:val="005734F9"/>
    <w:rsid w:val="00583D9C"/>
    <w:rsid w:val="00584085"/>
    <w:rsid w:val="00593913"/>
    <w:rsid w:val="00595BB8"/>
    <w:rsid w:val="00597ECF"/>
    <w:rsid w:val="005A7769"/>
    <w:rsid w:val="005C3A05"/>
    <w:rsid w:val="005D33A0"/>
    <w:rsid w:val="00610DF0"/>
    <w:rsid w:val="006222B6"/>
    <w:rsid w:val="00625576"/>
    <w:rsid w:val="006270A5"/>
    <w:rsid w:val="00643210"/>
    <w:rsid w:val="006478AE"/>
    <w:rsid w:val="00654B4E"/>
    <w:rsid w:val="00665EB1"/>
    <w:rsid w:val="006778BC"/>
    <w:rsid w:val="00691E57"/>
    <w:rsid w:val="006B1315"/>
    <w:rsid w:val="006B68BF"/>
    <w:rsid w:val="006C2360"/>
    <w:rsid w:val="006D0964"/>
    <w:rsid w:val="006D0ED5"/>
    <w:rsid w:val="006D615A"/>
    <w:rsid w:val="006D6950"/>
    <w:rsid w:val="006E41F0"/>
    <w:rsid w:val="006E6BFC"/>
    <w:rsid w:val="006F56C4"/>
    <w:rsid w:val="00713162"/>
    <w:rsid w:val="00714511"/>
    <w:rsid w:val="007163DB"/>
    <w:rsid w:val="007339B9"/>
    <w:rsid w:val="0074683C"/>
    <w:rsid w:val="0075002F"/>
    <w:rsid w:val="00755D1E"/>
    <w:rsid w:val="007657D4"/>
    <w:rsid w:val="00774E55"/>
    <w:rsid w:val="007926FC"/>
    <w:rsid w:val="007A2983"/>
    <w:rsid w:val="007B1A05"/>
    <w:rsid w:val="007B57EC"/>
    <w:rsid w:val="007C29EE"/>
    <w:rsid w:val="007C4810"/>
    <w:rsid w:val="007D0792"/>
    <w:rsid w:val="007D09DB"/>
    <w:rsid w:val="007E6586"/>
    <w:rsid w:val="007F1B33"/>
    <w:rsid w:val="00800CBB"/>
    <w:rsid w:val="0081502E"/>
    <w:rsid w:val="008214CA"/>
    <w:rsid w:val="00822A4E"/>
    <w:rsid w:val="00857215"/>
    <w:rsid w:val="0085779E"/>
    <w:rsid w:val="008644C6"/>
    <w:rsid w:val="00866F88"/>
    <w:rsid w:val="00870D8F"/>
    <w:rsid w:val="008769A6"/>
    <w:rsid w:val="00887104"/>
    <w:rsid w:val="00894E9E"/>
    <w:rsid w:val="008A14DC"/>
    <w:rsid w:val="008A15A9"/>
    <w:rsid w:val="008A6209"/>
    <w:rsid w:val="008A7C2E"/>
    <w:rsid w:val="008A7EBD"/>
    <w:rsid w:val="008B54FE"/>
    <w:rsid w:val="008C27D0"/>
    <w:rsid w:val="008C6364"/>
    <w:rsid w:val="008C69B7"/>
    <w:rsid w:val="008C6FE7"/>
    <w:rsid w:val="008D64FB"/>
    <w:rsid w:val="008E0904"/>
    <w:rsid w:val="008E4FF4"/>
    <w:rsid w:val="008F075C"/>
    <w:rsid w:val="008F2521"/>
    <w:rsid w:val="008F309D"/>
    <w:rsid w:val="00901301"/>
    <w:rsid w:val="00901896"/>
    <w:rsid w:val="0090652D"/>
    <w:rsid w:val="00914AFE"/>
    <w:rsid w:val="00923FA5"/>
    <w:rsid w:val="009252C7"/>
    <w:rsid w:val="00925867"/>
    <w:rsid w:val="00927C95"/>
    <w:rsid w:val="00961860"/>
    <w:rsid w:val="009A457A"/>
    <w:rsid w:val="009A6F47"/>
    <w:rsid w:val="009C23CF"/>
    <w:rsid w:val="009D2521"/>
    <w:rsid w:val="009D7751"/>
    <w:rsid w:val="009E3F20"/>
    <w:rsid w:val="009F0C9B"/>
    <w:rsid w:val="009F65B7"/>
    <w:rsid w:val="00A05583"/>
    <w:rsid w:val="00A314F2"/>
    <w:rsid w:val="00A3464B"/>
    <w:rsid w:val="00A415C3"/>
    <w:rsid w:val="00A521ED"/>
    <w:rsid w:val="00A65C4E"/>
    <w:rsid w:val="00A75006"/>
    <w:rsid w:val="00A951D7"/>
    <w:rsid w:val="00AA18F6"/>
    <w:rsid w:val="00AB018F"/>
    <w:rsid w:val="00AC42D0"/>
    <w:rsid w:val="00AC43CE"/>
    <w:rsid w:val="00AD01BD"/>
    <w:rsid w:val="00AD02D4"/>
    <w:rsid w:val="00AE27B1"/>
    <w:rsid w:val="00AF07AE"/>
    <w:rsid w:val="00AF53F3"/>
    <w:rsid w:val="00B019D8"/>
    <w:rsid w:val="00B04E0F"/>
    <w:rsid w:val="00B17CA5"/>
    <w:rsid w:val="00B223E9"/>
    <w:rsid w:val="00B24AD0"/>
    <w:rsid w:val="00B26A65"/>
    <w:rsid w:val="00B30F62"/>
    <w:rsid w:val="00B470B2"/>
    <w:rsid w:val="00B5225C"/>
    <w:rsid w:val="00B62C0F"/>
    <w:rsid w:val="00B7354D"/>
    <w:rsid w:val="00B755A9"/>
    <w:rsid w:val="00B91268"/>
    <w:rsid w:val="00BA4F43"/>
    <w:rsid w:val="00BB6651"/>
    <w:rsid w:val="00BB79F6"/>
    <w:rsid w:val="00BC6747"/>
    <w:rsid w:val="00BE564F"/>
    <w:rsid w:val="00BF2E2B"/>
    <w:rsid w:val="00BF338E"/>
    <w:rsid w:val="00C046AC"/>
    <w:rsid w:val="00C2058B"/>
    <w:rsid w:val="00C2297C"/>
    <w:rsid w:val="00C24D6B"/>
    <w:rsid w:val="00C35783"/>
    <w:rsid w:val="00C362E5"/>
    <w:rsid w:val="00C67F5B"/>
    <w:rsid w:val="00C87AB6"/>
    <w:rsid w:val="00C94F49"/>
    <w:rsid w:val="00C95A5B"/>
    <w:rsid w:val="00CD226E"/>
    <w:rsid w:val="00CD6C03"/>
    <w:rsid w:val="00CE17E5"/>
    <w:rsid w:val="00CF0F87"/>
    <w:rsid w:val="00D07343"/>
    <w:rsid w:val="00D218EC"/>
    <w:rsid w:val="00D3124B"/>
    <w:rsid w:val="00D46829"/>
    <w:rsid w:val="00D700CA"/>
    <w:rsid w:val="00D72C91"/>
    <w:rsid w:val="00D9010B"/>
    <w:rsid w:val="00D90A69"/>
    <w:rsid w:val="00D943AB"/>
    <w:rsid w:val="00DB6F88"/>
    <w:rsid w:val="00DC2CF1"/>
    <w:rsid w:val="00DC314C"/>
    <w:rsid w:val="00DD0FD9"/>
    <w:rsid w:val="00DD1BB1"/>
    <w:rsid w:val="00DD285C"/>
    <w:rsid w:val="00DD76B8"/>
    <w:rsid w:val="00DE19B6"/>
    <w:rsid w:val="00DF753A"/>
    <w:rsid w:val="00E062AC"/>
    <w:rsid w:val="00E11545"/>
    <w:rsid w:val="00E126A0"/>
    <w:rsid w:val="00E24318"/>
    <w:rsid w:val="00E338DC"/>
    <w:rsid w:val="00E3422B"/>
    <w:rsid w:val="00E45A52"/>
    <w:rsid w:val="00E5669E"/>
    <w:rsid w:val="00E72B23"/>
    <w:rsid w:val="00E750C9"/>
    <w:rsid w:val="00E8046D"/>
    <w:rsid w:val="00E97EBB"/>
    <w:rsid w:val="00EA2A0E"/>
    <w:rsid w:val="00EA3BE7"/>
    <w:rsid w:val="00EA5D91"/>
    <w:rsid w:val="00EA7029"/>
    <w:rsid w:val="00EB487B"/>
    <w:rsid w:val="00EC1535"/>
    <w:rsid w:val="00EC20A1"/>
    <w:rsid w:val="00EC2432"/>
    <w:rsid w:val="00ED2227"/>
    <w:rsid w:val="00EF3D14"/>
    <w:rsid w:val="00EF7C01"/>
    <w:rsid w:val="00F14EF0"/>
    <w:rsid w:val="00F32B33"/>
    <w:rsid w:val="00F42102"/>
    <w:rsid w:val="00F44D38"/>
    <w:rsid w:val="00F4505E"/>
    <w:rsid w:val="00F54C88"/>
    <w:rsid w:val="00F74744"/>
    <w:rsid w:val="00F759EE"/>
    <w:rsid w:val="00F75E36"/>
    <w:rsid w:val="00F767E7"/>
    <w:rsid w:val="00F80DAA"/>
    <w:rsid w:val="00F84CF0"/>
    <w:rsid w:val="00F8563E"/>
    <w:rsid w:val="00F876DD"/>
    <w:rsid w:val="00F94F5D"/>
    <w:rsid w:val="00FA469A"/>
    <w:rsid w:val="00FB05E8"/>
    <w:rsid w:val="00FB79B2"/>
    <w:rsid w:val="00FD1E15"/>
    <w:rsid w:val="00FE4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DE57E6-C31D-4831-91D6-B721ED1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D91"/>
    <w:rPr>
      <w:sz w:val="24"/>
      <w:szCs w:val="24"/>
    </w:rPr>
  </w:style>
  <w:style w:type="paragraph" w:styleId="2">
    <w:name w:val="heading 2"/>
    <w:basedOn w:val="a"/>
    <w:next w:val="a"/>
    <w:link w:val="20"/>
    <w:uiPriority w:val="99"/>
    <w:qFormat/>
    <w:rsid w:val="00EA5D91"/>
    <w:pPr>
      <w:keepNext/>
      <w:pBdr>
        <w:top w:val="single" w:sz="4" w:space="1" w:color="auto"/>
      </w:pBdr>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EA5D91"/>
    <w:pPr>
      <w:spacing w:line="360" w:lineRule="auto"/>
      <w:jc w:val="center"/>
    </w:pPr>
    <w:rPr>
      <w:sz w:val="28"/>
    </w:rPr>
  </w:style>
  <w:style w:type="character" w:customStyle="1" w:styleId="a4">
    <w:name w:val="Основной текст Знак"/>
    <w:link w:val="a3"/>
    <w:uiPriority w:val="99"/>
    <w:semiHidden/>
    <w:rPr>
      <w:sz w:val="24"/>
      <w:szCs w:val="24"/>
    </w:rPr>
  </w:style>
  <w:style w:type="paragraph" w:styleId="21">
    <w:name w:val="Body Text Indent 2"/>
    <w:basedOn w:val="a"/>
    <w:link w:val="22"/>
    <w:uiPriority w:val="99"/>
    <w:rsid w:val="00EA5D91"/>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23">
    <w:name w:val="Body Text 2"/>
    <w:basedOn w:val="a"/>
    <w:link w:val="24"/>
    <w:uiPriority w:val="99"/>
    <w:rsid w:val="00EA5D91"/>
    <w:pPr>
      <w:spacing w:after="120" w:line="480" w:lineRule="auto"/>
    </w:pPr>
  </w:style>
  <w:style w:type="character" w:customStyle="1" w:styleId="24">
    <w:name w:val="Основной текст 2 Знак"/>
    <w:link w:val="23"/>
    <w:uiPriority w:val="99"/>
    <w:semiHidden/>
    <w:rPr>
      <w:sz w:val="24"/>
      <w:szCs w:val="24"/>
    </w:rPr>
  </w:style>
  <w:style w:type="paragraph" w:styleId="a5">
    <w:name w:val="footer"/>
    <w:basedOn w:val="a"/>
    <w:link w:val="a6"/>
    <w:uiPriority w:val="99"/>
    <w:rsid w:val="00EA5D91"/>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EA5D91"/>
    <w:rPr>
      <w:rFonts w:cs="Times New Roman"/>
    </w:rPr>
  </w:style>
  <w:style w:type="paragraph" w:styleId="a8">
    <w:name w:val="footnote text"/>
    <w:basedOn w:val="a"/>
    <w:link w:val="a9"/>
    <w:uiPriority w:val="99"/>
    <w:semiHidden/>
    <w:rsid w:val="00EA5D91"/>
    <w:pPr>
      <w:suppressAutoHyphens/>
      <w:jc w:val="both"/>
    </w:pPr>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EA5D91"/>
    <w:rPr>
      <w:rFonts w:cs="Times New Roman"/>
      <w:vertAlign w:val="superscript"/>
    </w:rPr>
  </w:style>
  <w:style w:type="paragraph" w:customStyle="1" w:styleId="ConsNormal">
    <w:name w:val="ConsNormal"/>
    <w:uiPriority w:val="99"/>
    <w:rsid w:val="00EA5D91"/>
    <w:pPr>
      <w:widowControl w:val="0"/>
      <w:autoSpaceDE w:val="0"/>
      <w:autoSpaceDN w:val="0"/>
      <w:adjustRightInd w:val="0"/>
      <w:ind w:right="19772" w:firstLine="720"/>
    </w:pPr>
    <w:rPr>
      <w:rFonts w:ascii="Arial" w:hAnsi="Arial" w:cs="Arial"/>
    </w:rPr>
  </w:style>
  <w:style w:type="paragraph" w:styleId="3">
    <w:name w:val="Body Text Indent 3"/>
    <w:basedOn w:val="a"/>
    <w:link w:val="30"/>
    <w:uiPriority w:val="99"/>
    <w:rsid w:val="00EA5D91"/>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character" w:styleId="ab">
    <w:name w:val="Hyperlink"/>
    <w:uiPriority w:val="99"/>
    <w:rsid w:val="00EA5D91"/>
    <w:rPr>
      <w:rFonts w:cs="Times New Roman"/>
      <w:color w:val="0000FF"/>
      <w:u w:val="single"/>
    </w:rPr>
  </w:style>
  <w:style w:type="table" w:styleId="1">
    <w:name w:val="Table Grid 1"/>
    <w:basedOn w:val="a1"/>
    <w:uiPriority w:val="99"/>
    <w:rsid w:val="00C3578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c">
    <w:name w:val="header"/>
    <w:basedOn w:val="a"/>
    <w:link w:val="ad"/>
    <w:uiPriority w:val="99"/>
    <w:rsid w:val="00C35783"/>
    <w:pPr>
      <w:tabs>
        <w:tab w:val="center" w:pos="4677"/>
        <w:tab w:val="right" w:pos="9355"/>
      </w:tabs>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3006</Words>
  <Characters>17135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ДОХОДЫ БЮДЖЕТОВ БЮДЖЕТНОЙ СИСТЕМЫ РФ</vt:lpstr>
    </vt:vector>
  </TitlesOfParts>
  <Company>Microsoft</Company>
  <LinksUpToDate>false</LinksUpToDate>
  <CharactersWithSpaces>20101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ДОХОДЫ БЮДЖЕТОВ БЮДЖЕТНОЙ СИСТЕМЫ РФ</dc:title>
  <dc:subject/>
  <dc:creator>WiZaRd</dc:creator>
  <cp:keywords/>
  <dc:description/>
  <cp:lastModifiedBy>admin</cp:lastModifiedBy>
  <cp:revision>2</cp:revision>
  <dcterms:created xsi:type="dcterms:W3CDTF">2014-03-25T17:58:00Z</dcterms:created>
  <dcterms:modified xsi:type="dcterms:W3CDTF">2014-03-25T17:58:00Z</dcterms:modified>
</cp:coreProperties>
</file>