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E53457" w:rsidRDefault="00E53457" w:rsidP="00E53457">
      <w:pPr>
        <w:suppressAutoHyphens/>
        <w:spacing w:line="360" w:lineRule="auto"/>
        <w:ind w:firstLine="709"/>
        <w:jc w:val="both"/>
        <w:rPr>
          <w:b/>
          <w:color w:val="000000"/>
          <w:sz w:val="28"/>
          <w:szCs w:val="28"/>
        </w:rPr>
      </w:pPr>
    </w:p>
    <w:p w:rsidR="008E6906" w:rsidRPr="00E53457" w:rsidRDefault="008E6906" w:rsidP="00E53457">
      <w:pPr>
        <w:suppressAutoHyphens/>
        <w:spacing w:line="360" w:lineRule="auto"/>
        <w:ind w:firstLine="709"/>
        <w:jc w:val="center"/>
        <w:rPr>
          <w:b/>
          <w:color w:val="000000"/>
          <w:sz w:val="28"/>
          <w:szCs w:val="28"/>
        </w:rPr>
      </w:pPr>
      <w:r w:rsidRPr="00E53457">
        <w:rPr>
          <w:b/>
          <w:color w:val="000000"/>
          <w:sz w:val="28"/>
          <w:szCs w:val="28"/>
        </w:rPr>
        <w:t>КУРСОВАЯ РАБОТА</w:t>
      </w:r>
    </w:p>
    <w:p w:rsidR="008E6906" w:rsidRPr="00E53457" w:rsidRDefault="008E6906" w:rsidP="00E53457">
      <w:pPr>
        <w:suppressAutoHyphens/>
        <w:spacing w:line="360" w:lineRule="auto"/>
        <w:ind w:firstLine="709"/>
        <w:jc w:val="center"/>
        <w:rPr>
          <w:b/>
          <w:color w:val="000000"/>
          <w:sz w:val="28"/>
          <w:szCs w:val="28"/>
        </w:rPr>
      </w:pPr>
      <w:r w:rsidRPr="00E53457">
        <w:rPr>
          <w:b/>
          <w:color w:val="000000"/>
          <w:sz w:val="28"/>
          <w:szCs w:val="28"/>
        </w:rPr>
        <w:t>по дисциплине «</w:t>
      </w:r>
      <w:r w:rsidR="002A54DA" w:rsidRPr="00E53457">
        <w:rPr>
          <w:b/>
          <w:color w:val="000000"/>
          <w:sz w:val="28"/>
          <w:szCs w:val="28"/>
        </w:rPr>
        <w:t>Налогообложение</w:t>
      </w:r>
      <w:r w:rsidRPr="00E53457">
        <w:rPr>
          <w:b/>
          <w:color w:val="000000"/>
          <w:sz w:val="28"/>
          <w:szCs w:val="28"/>
        </w:rPr>
        <w:t>»</w:t>
      </w:r>
    </w:p>
    <w:p w:rsidR="008E6906" w:rsidRPr="00E53457" w:rsidRDefault="008E6906" w:rsidP="00E53457">
      <w:pPr>
        <w:suppressAutoHyphens/>
        <w:spacing w:line="360" w:lineRule="auto"/>
        <w:ind w:firstLine="709"/>
        <w:jc w:val="center"/>
        <w:rPr>
          <w:b/>
          <w:color w:val="000000"/>
          <w:sz w:val="28"/>
          <w:szCs w:val="28"/>
        </w:rPr>
      </w:pPr>
      <w:r w:rsidRPr="00E53457">
        <w:rPr>
          <w:b/>
          <w:color w:val="000000"/>
          <w:sz w:val="28"/>
          <w:szCs w:val="28"/>
        </w:rPr>
        <w:t>по теме: «Единый налог на вмененный доход»</w:t>
      </w:r>
    </w:p>
    <w:p w:rsidR="007D7A44" w:rsidRPr="00E53457" w:rsidRDefault="00E53457" w:rsidP="00E53457">
      <w:pPr>
        <w:suppressAutoHyphens/>
        <w:spacing w:line="360" w:lineRule="auto"/>
        <w:rPr>
          <w:sz w:val="28"/>
          <w:szCs w:val="28"/>
        </w:rPr>
      </w:pPr>
      <w:r w:rsidRPr="00E53457">
        <w:rPr>
          <w:b/>
          <w:sz w:val="28"/>
          <w:szCs w:val="28"/>
        </w:rPr>
        <w:br w:type="page"/>
      </w:r>
      <w:r w:rsidR="007D7A44" w:rsidRPr="00E53457">
        <w:rPr>
          <w:sz w:val="28"/>
          <w:szCs w:val="28"/>
        </w:rPr>
        <w:t>СОДЕРЖАНИЕ</w:t>
      </w:r>
    </w:p>
    <w:p w:rsidR="00E53457" w:rsidRPr="00E53457" w:rsidRDefault="00E53457" w:rsidP="00E53457">
      <w:pPr>
        <w:suppressAutoHyphens/>
        <w:spacing w:line="360" w:lineRule="auto"/>
        <w:rPr>
          <w:sz w:val="28"/>
          <w:szCs w:val="28"/>
        </w:rPr>
      </w:pPr>
    </w:p>
    <w:p w:rsidR="00E53457" w:rsidRPr="00E53457" w:rsidRDefault="00E53457" w:rsidP="00E53457">
      <w:pPr>
        <w:suppressAutoHyphens/>
        <w:spacing w:line="360" w:lineRule="auto"/>
        <w:rPr>
          <w:sz w:val="28"/>
          <w:szCs w:val="28"/>
        </w:rPr>
      </w:pPr>
      <w:r w:rsidRPr="00E53457">
        <w:rPr>
          <w:sz w:val="28"/>
          <w:szCs w:val="28"/>
        </w:rPr>
        <w:t>ВВЕДЕНИЕ</w:t>
      </w:r>
    </w:p>
    <w:p w:rsidR="00E53457" w:rsidRPr="00E53457" w:rsidRDefault="00E53457" w:rsidP="00E53457">
      <w:pPr>
        <w:suppressAutoHyphens/>
        <w:spacing w:line="360" w:lineRule="auto"/>
        <w:rPr>
          <w:sz w:val="28"/>
          <w:szCs w:val="28"/>
        </w:rPr>
      </w:pPr>
      <w:r w:rsidRPr="00E53457">
        <w:rPr>
          <w:sz w:val="28"/>
          <w:szCs w:val="28"/>
        </w:rPr>
        <w:t>1. Единый налог на вмененный доход как вид специального налогового режима</w:t>
      </w:r>
    </w:p>
    <w:p w:rsidR="00E53457" w:rsidRPr="00E53457" w:rsidRDefault="00E53457" w:rsidP="00E53457">
      <w:pPr>
        <w:suppressAutoHyphens/>
        <w:spacing w:line="360" w:lineRule="auto"/>
        <w:rPr>
          <w:sz w:val="28"/>
          <w:szCs w:val="28"/>
        </w:rPr>
      </w:pPr>
      <w:r w:rsidRPr="00E53457">
        <w:rPr>
          <w:sz w:val="28"/>
          <w:szCs w:val="28"/>
        </w:rPr>
        <w:t>2. Основные принципы расчета и уплаты единого налога на вмененный доход в РФ</w:t>
      </w:r>
      <w:r w:rsidRPr="00E53457">
        <w:rPr>
          <w:sz w:val="28"/>
          <w:szCs w:val="28"/>
        </w:rPr>
        <w:tab/>
      </w:r>
    </w:p>
    <w:p w:rsidR="00E53457" w:rsidRPr="00E53457" w:rsidRDefault="00E53457" w:rsidP="00E53457">
      <w:pPr>
        <w:suppressAutoHyphens/>
        <w:spacing w:line="360" w:lineRule="auto"/>
        <w:rPr>
          <w:sz w:val="28"/>
          <w:szCs w:val="28"/>
        </w:rPr>
      </w:pPr>
      <w:r w:rsidRPr="00E53457">
        <w:rPr>
          <w:sz w:val="28"/>
          <w:szCs w:val="28"/>
        </w:rPr>
        <w:t>ЗАКЛЮЧЕНИЕ</w:t>
      </w:r>
    </w:p>
    <w:p w:rsidR="007D7A44" w:rsidRPr="00E53457" w:rsidRDefault="00E53457" w:rsidP="00E53457">
      <w:pPr>
        <w:suppressAutoHyphens/>
        <w:spacing w:line="360" w:lineRule="auto"/>
        <w:rPr>
          <w:sz w:val="28"/>
          <w:szCs w:val="28"/>
        </w:rPr>
      </w:pPr>
      <w:r w:rsidRPr="00E53457">
        <w:rPr>
          <w:sz w:val="28"/>
          <w:szCs w:val="28"/>
        </w:rPr>
        <w:t>СПИСОК ИСПОЛЬЗОВАННЫХ ИСТОЧНИКОВ</w:t>
      </w:r>
    </w:p>
    <w:p w:rsidR="00397930" w:rsidRPr="00E53457" w:rsidRDefault="00E53457" w:rsidP="00E53457">
      <w:pPr>
        <w:suppressAutoHyphens/>
        <w:spacing w:line="360" w:lineRule="auto"/>
        <w:ind w:firstLine="709"/>
        <w:jc w:val="both"/>
        <w:outlineLvl w:val="0"/>
        <w:rPr>
          <w:b/>
          <w:sz w:val="28"/>
          <w:szCs w:val="28"/>
        </w:rPr>
      </w:pPr>
      <w:bookmarkStart w:id="0" w:name="_Toc157520531"/>
      <w:r>
        <w:rPr>
          <w:b/>
          <w:sz w:val="28"/>
          <w:szCs w:val="28"/>
        </w:rPr>
        <w:br w:type="page"/>
      </w:r>
      <w:r w:rsidR="00397930" w:rsidRPr="00E53457">
        <w:rPr>
          <w:b/>
          <w:sz w:val="28"/>
          <w:szCs w:val="28"/>
        </w:rPr>
        <w:t>ВВЕДЕНИЕ</w:t>
      </w:r>
      <w:bookmarkEnd w:id="0"/>
    </w:p>
    <w:p w:rsidR="00397930" w:rsidRPr="00E53457" w:rsidRDefault="00397930" w:rsidP="00E53457">
      <w:pPr>
        <w:suppressAutoHyphens/>
        <w:spacing w:line="360" w:lineRule="auto"/>
        <w:ind w:firstLine="709"/>
        <w:jc w:val="both"/>
        <w:rPr>
          <w:b/>
          <w:sz w:val="28"/>
          <w:szCs w:val="28"/>
        </w:rPr>
      </w:pPr>
    </w:p>
    <w:p w:rsidR="00397930" w:rsidRPr="00E53457" w:rsidRDefault="00397930" w:rsidP="00E53457">
      <w:pPr>
        <w:suppressAutoHyphens/>
        <w:spacing w:line="360" w:lineRule="auto"/>
        <w:ind w:firstLine="709"/>
        <w:jc w:val="both"/>
        <w:rPr>
          <w:bCs/>
          <w:sz w:val="28"/>
          <w:szCs w:val="28"/>
        </w:rPr>
      </w:pPr>
      <w:r w:rsidRPr="00E53457">
        <w:rPr>
          <w:bCs/>
          <w:sz w:val="28"/>
          <w:szCs w:val="28"/>
        </w:rPr>
        <w:t xml:space="preserve">Осуществляемые в нашей стране экономические реформы при всей их непоследовательности и противоречивости явились условием становления и развития малого предпринимательства. </w:t>
      </w:r>
    </w:p>
    <w:p w:rsidR="00397930" w:rsidRPr="00E53457" w:rsidRDefault="00397930" w:rsidP="00E53457">
      <w:pPr>
        <w:widowControl w:val="0"/>
        <w:suppressAutoHyphens/>
        <w:spacing w:line="360" w:lineRule="auto"/>
        <w:ind w:firstLine="709"/>
        <w:jc w:val="both"/>
        <w:rPr>
          <w:sz w:val="28"/>
          <w:szCs w:val="28"/>
        </w:rPr>
      </w:pPr>
      <w:r w:rsidRPr="00E53457">
        <w:rPr>
          <w:sz w:val="28"/>
          <w:szCs w:val="28"/>
        </w:rPr>
        <w:t>Тема курсовой работы интересна своей актуальностью: опыт ведущих стран современного мира со всей очевидностью доказывает необходимость наличия в любой национальной экономике высокоразвитого и эффективного малого предпринимательского сектора. Поэтому возрождение России невозможно осуществить без соответствующего этому развитию данного сектора экономики, так как именно он является тем локомотивом, который буквально тащит за собой экономическое и социальное развитие.</w:t>
      </w:r>
    </w:p>
    <w:p w:rsidR="00397930" w:rsidRPr="00E53457" w:rsidRDefault="00397930" w:rsidP="00E53457">
      <w:pPr>
        <w:suppressAutoHyphens/>
        <w:spacing w:line="360" w:lineRule="auto"/>
        <w:ind w:firstLine="709"/>
        <w:jc w:val="both"/>
        <w:rPr>
          <w:sz w:val="28"/>
          <w:szCs w:val="28"/>
        </w:rPr>
      </w:pPr>
      <w:r w:rsidRPr="00E53457">
        <w:rPr>
          <w:sz w:val="28"/>
          <w:szCs w:val="28"/>
        </w:rPr>
        <w:t>В системе экономических и социальных отношений большинства государств малый бизнес выполняет сегодня важнейшие функции. В этой сфере производится основная часть валового внутреннего продукта, обеспечивается занятость большинства работающего населения. Малый бизнес содействует развитию научно-технического прогресса, создавая более половины всех инноваций. Наконец, благодаря ему возник и приобрел свой современный вид так называемый «средний класс» – важнейший фактор социально-политической стабильности современного общества.</w:t>
      </w:r>
    </w:p>
    <w:p w:rsidR="00397930" w:rsidRPr="00E53457" w:rsidRDefault="00397930" w:rsidP="00E53457">
      <w:pPr>
        <w:suppressAutoHyphens/>
        <w:spacing w:line="360" w:lineRule="auto"/>
        <w:ind w:firstLine="709"/>
        <w:jc w:val="both"/>
        <w:rPr>
          <w:sz w:val="28"/>
          <w:szCs w:val="28"/>
        </w:rPr>
      </w:pPr>
      <w:r w:rsidRPr="00E53457">
        <w:rPr>
          <w:sz w:val="28"/>
          <w:szCs w:val="28"/>
        </w:rPr>
        <w:t>Наиболее важной проблемой, сдерживающей развитие малого бизнеса в РФ, является несовершенство налогового законодательства. Определенные шаги в направлении его оптимизации применяются нашим государством. Один из них – введение специальных налоговых режимов и, в частности, единого налога на вмененный доход.</w:t>
      </w:r>
    </w:p>
    <w:p w:rsidR="00397930" w:rsidRPr="00E53457" w:rsidRDefault="00397930" w:rsidP="00E53457">
      <w:pPr>
        <w:suppressAutoHyphens/>
        <w:spacing w:line="360" w:lineRule="auto"/>
        <w:ind w:firstLine="709"/>
        <w:jc w:val="both"/>
        <w:rPr>
          <w:sz w:val="28"/>
          <w:szCs w:val="28"/>
        </w:rPr>
      </w:pPr>
      <w:r w:rsidRPr="00E53457">
        <w:rPr>
          <w:sz w:val="28"/>
          <w:szCs w:val="28"/>
        </w:rPr>
        <w:t>Курсовая работа состоит из двух глав. В первой главе рассматривается мировой опыт применения единого налога на вмененный доход. Во второй главе анализируется единый налог на вмененный доход, применяемый в Российской Федерации.</w:t>
      </w:r>
    </w:p>
    <w:p w:rsidR="00510099" w:rsidRPr="00E53457" w:rsidRDefault="00510099" w:rsidP="00E53457">
      <w:pPr>
        <w:suppressAutoHyphens/>
        <w:spacing w:line="360" w:lineRule="auto"/>
        <w:ind w:firstLine="709"/>
        <w:jc w:val="both"/>
        <w:rPr>
          <w:sz w:val="28"/>
          <w:szCs w:val="28"/>
        </w:rPr>
      </w:pPr>
      <w:r w:rsidRPr="00E53457">
        <w:rPr>
          <w:sz w:val="28"/>
          <w:szCs w:val="28"/>
        </w:rPr>
        <w:t>Методологической и теоретической основой исследования служат труды отечественных и зарубежных экономистов, нормативно-правовые акты, инструктивные материалы.</w:t>
      </w:r>
    </w:p>
    <w:p w:rsidR="00510099" w:rsidRPr="00E53457" w:rsidRDefault="00510099" w:rsidP="00E53457">
      <w:pPr>
        <w:suppressAutoHyphens/>
        <w:spacing w:line="360" w:lineRule="auto"/>
        <w:ind w:firstLine="709"/>
        <w:jc w:val="both"/>
        <w:rPr>
          <w:sz w:val="28"/>
          <w:szCs w:val="28"/>
        </w:rPr>
      </w:pPr>
      <w:r w:rsidRPr="00E53457">
        <w:rPr>
          <w:sz w:val="28"/>
          <w:szCs w:val="28"/>
        </w:rPr>
        <w:t>Фактологическую базу данного исследования составляют материалы Госкомстата России, периодические экономические издания.</w:t>
      </w:r>
    </w:p>
    <w:p w:rsidR="00B43CA1" w:rsidRPr="00E53457" w:rsidRDefault="00E53457" w:rsidP="00E53457">
      <w:pPr>
        <w:suppressAutoHyphens/>
        <w:spacing w:line="360" w:lineRule="auto"/>
        <w:ind w:firstLine="709"/>
        <w:jc w:val="both"/>
        <w:outlineLvl w:val="0"/>
        <w:rPr>
          <w:b/>
          <w:sz w:val="28"/>
          <w:szCs w:val="28"/>
        </w:rPr>
      </w:pPr>
      <w:bookmarkStart w:id="1" w:name="_Toc157520532"/>
      <w:r>
        <w:rPr>
          <w:sz w:val="28"/>
          <w:szCs w:val="28"/>
        </w:rPr>
        <w:br w:type="page"/>
      </w:r>
      <w:r w:rsidR="00B158ED" w:rsidRPr="00E53457">
        <w:rPr>
          <w:b/>
          <w:sz w:val="28"/>
          <w:szCs w:val="28"/>
        </w:rPr>
        <w:t xml:space="preserve">1. </w:t>
      </w:r>
      <w:r w:rsidR="006D68AD" w:rsidRPr="00E53457">
        <w:rPr>
          <w:b/>
          <w:sz w:val="28"/>
          <w:szCs w:val="28"/>
        </w:rPr>
        <w:t>Единый налог на вмененный доход как вид специального налогового режима</w:t>
      </w:r>
      <w:bookmarkEnd w:id="1"/>
    </w:p>
    <w:p w:rsidR="00B158ED" w:rsidRPr="00E53457" w:rsidRDefault="00B158ED" w:rsidP="00E53457">
      <w:pPr>
        <w:suppressAutoHyphens/>
        <w:spacing w:line="360" w:lineRule="auto"/>
        <w:ind w:firstLine="709"/>
        <w:jc w:val="both"/>
        <w:rPr>
          <w:b/>
          <w:sz w:val="28"/>
          <w:szCs w:val="28"/>
        </w:rPr>
      </w:pP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Законодательством большинства развитых стран </w:t>
      </w:r>
      <w:r w:rsidRPr="00E53457">
        <w:rPr>
          <w:iCs/>
          <w:sz w:val="28"/>
          <w:szCs w:val="28"/>
        </w:rPr>
        <w:t>малый</w:t>
      </w:r>
      <w:r w:rsidRPr="00E53457">
        <w:rPr>
          <w:sz w:val="28"/>
          <w:szCs w:val="28"/>
        </w:rPr>
        <w:t xml:space="preserve"> </w:t>
      </w:r>
      <w:r w:rsidRPr="00E53457">
        <w:rPr>
          <w:iCs/>
          <w:sz w:val="28"/>
          <w:szCs w:val="28"/>
        </w:rPr>
        <w:t>бизнес</w:t>
      </w:r>
      <w:r w:rsidRPr="00E53457">
        <w:rPr>
          <w:sz w:val="28"/>
          <w:szCs w:val="28"/>
        </w:rPr>
        <w:t xml:space="preserve"> определен в качестве особого субъекта государственного регулирования. Специфика </w:t>
      </w:r>
      <w:r w:rsidRPr="00E53457">
        <w:rPr>
          <w:iCs/>
          <w:sz w:val="28"/>
          <w:szCs w:val="28"/>
        </w:rPr>
        <w:t>малого</w:t>
      </w:r>
      <w:r w:rsidRPr="00E53457">
        <w:rPr>
          <w:sz w:val="28"/>
          <w:szCs w:val="28"/>
        </w:rPr>
        <w:t xml:space="preserve"> </w:t>
      </w:r>
      <w:r w:rsidRPr="00E53457">
        <w:rPr>
          <w:iCs/>
          <w:sz w:val="28"/>
          <w:szCs w:val="28"/>
        </w:rPr>
        <w:t>бизнеса</w:t>
      </w:r>
      <w:r w:rsidRPr="00E53457">
        <w:rPr>
          <w:sz w:val="28"/>
          <w:szCs w:val="28"/>
        </w:rPr>
        <w:t xml:space="preserve"> (социальная значимость, массовость) определила особенности его </w:t>
      </w:r>
      <w:r w:rsidRPr="00E53457">
        <w:rPr>
          <w:iCs/>
          <w:sz w:val="28"/>
          <w:szCs w:val="28"/>
        </w:rPr>
        <w:t>налогообложения</w:t>
      </w:r>
      <w:r w:rsidRPr="00E53457">
        <w:rPr>
          <w:sz w:val="28"/>
          <w:szCs w:val="28"/>
        </w:rPr>
        <w:t>, которое ориентировано на долгосрочные цели экономического развития и привязано к реально складывающимся экономическим пропорциям внутри данного сектора.</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В основе экономической политики большинства развитых </w:t>
      </w:r>
      <w:r w:rsidRPr="00E53457">
        <w:rPr>
          <w:iCs/>
          <w:sz w:val="28"/>
          <w:szCs w:val="28"/>
        </w:rPr>
        <w:t>стран</w:t>
      </w:r>
      <w:r w:rsidRPr="00E53457">
        <w:rPr>
          <w:sz w:val="28"/>
          <w:szCs w:val="28"/>
        </w:rPr>
        <w:t xml:space="preserve"> лежит постулат о необходимости создания в равной степени благоприятной макроэкономической среды для предприятий любого размерного уклада. Несмотря на это в области </w:t>
      </w:r>
      <w:r w:rsidRPr="00E53457">
        <w:rPr>
          <w:iCs/>
          <w:sz w:val="28"/>
          <w:szCs w:val="28"/>
        </w:rPr>
        <w:t>налогообложения</w:t>
      </w:r>
      <w:r w:rsidRPr="00E53457">
        <w:rPr>
          <w:sz w:val="28"/>
          <w:szCs w:val="28"/>
        </w:rPr>
        <w:t xml:space="preserve"> малые и средние предприятия фактически выделены в отдельную группу. Такой подход объясняется как соображениями экономической справедливости – необходимость компенсации объективно меньших возможностей самофинансирования данной категории предприятий, – так и административными соображениями.</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Сложившаяся международная практика налогообложения предусматривает по отношению к субъектам малого и среднего предпринимательства два основных подхода:</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1) введение на фоне стандартной национальной налоговой системы совокупности налоговых льгот для малого бизнеса по отдельным крупным налогам (преимущественно  по налогу на прибыль, реже по НДС);</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2) введение особых режимов налогообложения малого бизнеса.</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С теоретических позиций налоговеды выделяют два типа таких режимов: упрощенное и вмененное налогообложения, которые, будучи адаптированы к условиям конкретной страны, могут образовывать различные модификации и смешанные формы.</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В чистом виде первый тип налогообложения предусматривает сохранение для малых предприятий всех видов налогов при одновременном упрощении порядка их расчетов (включая упрощенные методы определения налоговой базы и методы ведения учета) и взимания (периодичность, освобождение от авансовых платежей и т.д.).</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Второй тип, напротив, предполагает оценку потенциального дохода налогоплательщика на основании косвенных признаков и установление фиксированных платежей в бюджет, заменяющих один или несколько традиционных налогов.</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Термин presumptive в английском языке (предполагаемый) означает существование обоснованных предположений, что нормальный доход налогоплательщика должен совпадать с суммой, определенной при применении косвенного метода (не меньше, когда вменение используется в качестве минимального налогообложения). Эта концепция включает множество различных способов определения налоговой базы. </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Существует множество различных методов вменения в разных странах. Они могут существенно различаться по влиянию на стимулы, доходы, распределительным последствиям, уровню сложности, юридическим и административным последствиям.</w:t>
      </w:r>
    </w:p>
    <w:p w:rsidR="00487F10" w:rsidRPr="00E53457" w:rsidRDefault="00F92C99" w:rsidP="00E53457">
      <w:pPr>
        <w:pStyle w:val="a6"/>
        <w:suppressAutoHyphens/>
        <w:spacing w:before="0" w:beforeAutospacing="0" w:after="0" w:afterAutospacing="0" w:line="360" w:lineRule="auto"/>
        <w:ind w:firstLine="709"/>
        <w:jc w:val="both"/>
        <w:rPr>
          <w:sz w:val="28"/>
          <w:szCs w:val="28"/>
        </w:rPr>
      </w:pPr>
      <w:r w:rsidRPr="00E53457">
        <w:rPr>
          <w:sz w:val="28"/>
          <w:szCs w:val="28"/>
        </w:rPr>
        <w:t>В</w:t>
      </w:r>
      <w:r w:rsidR="00487F10" w:rsidRPr="00E53457">
        <w:rPr>
          <w:sz w:val="28"/>
          <w:szCs w:val="28"/>
        </w:rPr>
        <w:t>мененные налоги в некоторых странах практически полностью отсутствуют, как в США, в других применяются в значительной степени, как, например, было во Франции несколько десятилетий назад.</w:t>
      </w:r>
    </w:p>
    <w:p w:rsidR="00487F10" w:rsidRPr="00E53457" w:rsidRDefault="00487F10" w:rsidP="00E53457">
      <w:pPr>
        <w:pStyle w:val="a6"/>
        <w:suppressAutoHyphens/>
        <w:spacing w:before="0" w:beforeAutospacing="0" w:after="0" w:afterAutospacing="0" w:line="360" w:lineRule="auto"/>
        <w:ind w:firstLine="709"/>
        <w:jc w:val="both"/>
        <w:rPr>
          <w:sz w:val="28"/>
          <w:szCs w:val="28"/>
        </w:rPr>
      </w:pPr>
      <w:r w:rsidRPr="00E53457">
        <w:rPr>
          <w:sz w:val="28"/>
          <w:szCs w:val="28"/>
        </w:rPr>
        <w:t>Рассмотрим способы классификации методов расчета вмененного дохода.</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Прежде всего, вмененный метод может быть оспоримым или неоспоримым.</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При оспоримом методе налогоплательщик, не согласный с результатом применения метода, может апеллировать, удостоверяя, что его фактический доход, подсчитанный по обычным правилам налогового учета, меньше, чем рассчитанный по вмененному методу.</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Оспоримость вмененного налогообложения требуется в случаях, когда есть основания предполагать, что налогоплательщик не раскрывает полностью своего дохода в декларации или не подает декларацию. В таких случаях закон обычно уполномочивает налоговые власти использовать косвенные методы для определения дохода налогоплательщика, основанные, возможно, на произвольных критериях или на какой-либо доступной информации. Поскольку в этом случае вмененное налогообложение предназначено в качестве средства установления истинного дохода налогоплательщика, налогоплательщику должно быть позволено уточнить предоставляемую информацию. Этот тип вмененного налогообложения, следовательно, представляет собой не фундаментальное отступления от нормальных правил определения налоговых обязательств, а отступление в тех случаях, когда эти правила не работают из-за недостаточного законопослушания плательщика. </w:t>
      </w:r>
      <w:r w:rsidRPr="00E53457">
        <w:rPr>
          <w:iCs/>
          <w:sz w:val="28"/>
          <w:szCs w:val="28"/>
        </w:rPr>
        <w:t>Forfait</w:t>
      </w:r>
      <w:r w:rsidRPr="00E53457">
        <w:rPr>
          <w:sz w:val="28"/>
          <w:szCs w:val="28"/>
        </w:rPr>
        <w:t xml:space="preserve">, применяемый во Франции, является гибридом между оспоримым и неоспоримым методами. Он оспорим в том смысле, что налогоплательщик может выбрать нормальные учетные правила взамен </w:t>
      </w:r>
      <w:r w:rsidRPr="00E53457">
        <w:rPr>
          <w:iCs/>
          <w:sz w:val="28"/>
          <w:szCs w:val="28"/>
        </w:rPr>
        <w:t xml:space="preserve">forfait. </w:t>
      </w:r>
      <w:r w:rsidRPr="00E53457">
        <w:rPr>
          <w:sz w:val="28"/>
          <w:szCs w:val="28"/>
        </w:rPr>
        <w:t xml:space="preserve">При </w:t>
      </w:r>
      <w:r w:rsidRPr="00E53457">
        <w:rPr>
          <w:iCs/>
          <w:sz w:val="28"/>
          <w:szCs w:val="28"/>
        </w:rPr>
        <w:t>forfait</w:t>
      </w:r>
      <w:r w:rsidRPr="00E53457">
        <w:rPr>
          <w:sz w:val="28"/>
          <w:szCs w:val="28"/>
        </w:rPr>
        <w:t xml:space="preserve"> определение дохода есть вопрос переговоров между налогоплательщиком и налоговым инспектором. Но после достижения соглашения на точно определенный период в два года, налог применяется автоматически, независимо от фактического дохода налогоплательщика.</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Вмененный налог может быть минимальным или исключительным (exclusive).</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Неоспоримые вмененные налоги могут подразделяться на два вида: минимальные налоги, когда налоговые обязательства не меньше определенных по правилу вменения и исключительные, когда налоговые обязательства определяются только на основе вменения, даже если обычные правила могут привести к более высоким обязательствам. Примером последнего может служить налог на доход от сельскохозяйственной деятельности, базой которого является ценность земельного участка, вне зависимости от фактически собранного за год урожая. Такие налоги имеют выраженный стимулирующий эффект. Поскольку налоговые обязательства не зависят от фактического дохода, усилия, приложенные к получению дополнительного дохода, вознаграждаются в большей степени, то есть налог не влияет на предельный доход налогоплательщика. То есть эти налоги в значительной степени приближены к неискажающему паушальному налогообложению, по крайней мере, в краткосрочном периоде.</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Но стимулирующее воздействие налога зависит от факторов, используемых для определения вмененного дохода. Эти стимулирующие эффекты будут минимальны, когда предложение факторов, на которых основано вменение, неэластично, как в случае с землей. Исключительный вмененный налог фактически является не налогом на доход, а налогом на то, что используется для определения вменения. В зависимости от того, какие факторы используются, он может служить в качестве налога на потенциальный доход (если его базой являются факторы производства) или на потребление (если база – уровень жизни (lifestyle)).</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Исключительное вменение административно проще, чем минимальный вмененный налог, поскольку последний требует подсчета и сравнения двух налоговых баз. Однако преимущество в простоте исключительного вмененного налога сопровождается недостатком справедливости, поскольку в этом случае налогоплательщики с одинаковой базой вмененного налога должны платить одинаковые суммы, хотя их фактический доход может существенно различаться.</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Вмененное налогообложение может быть механическим (формальным) или дискреционным.</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Вмененные методы различаются по степени свободы, предоставленной налоговым властям (в какой степени налоги устанавливаются по усмотрению налоговых органов). Некоторые методы вменения чисто формальны, например, вменение на базе валовой выручки или активов фирмы. Другие, как метод чистого богатства, в значительной степени определяются по усмотрения применяющего их агента. </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Методы, являющиеся дискреционными, обычно бывают оспоримыми, иначе властям предоставляются значительные возможности для произвола. Формальные методы могут быть как оспоримыми, так и неоспоримыми. В некоторых случаях метод может быть формальным и неоспоримым, когда применяется, но налоговые власти могут по своему выбору применять или не применять его. Например, вменение, основанное на внешних признаках уровня жизни или накопленного богатства во Франции, было неоспоримым (впоследствии изменено до оспоримого вменения). Налоговым агентам предписывалось не применять вменение, когда его применение было бы суровым, хотя они не были юридически ограничены в воздержании от применения этого метода. Налогоплательщики могут, возможно, в редких случаях, аргументировать, что были подвергнуты вменению, основанному на злоупотреблении свободой вменения, если вменение было применено при обстоятельствах, при которых налоговым властям дано указание вообще не применять его.</w:t>
      </w:r>
    </w:p>
    <w:p w:rsidR="006D68AD" w:rsidRPr="00E53457" w:rsidRDefault="006D68AD" w:rsidP="00E53457">
      <w:pPr>
        <w:pStyle w:val="a6"/>
        <w:suppressAutoHyphens/>
        <w:spacing w:before="0" w:beforeAutospacing="0" w:after="0" w:afterAutospacing="0" w:line="360" w:lineRule="auto"/>
        <w:ind w:firstLine="709"/>
        <w:jc w:val="both"/>
        <w:rPr>
          <w:sz w:val="28"/>
          <w:szCs w:val="28"/>
        </w:rPr>
      </w:pPr>
      <w:r w:rsidRPr="00E53457">
        <w:rPr>
          <w:sz w:val="28"/>
          <w:szCs w:val="28"/>
        </w:rPr>
        <w:t>Как формальные, так и дискреционные методы имеют существенные недостатки: возможности для коррупции в случае дискреционных правил, потенциальная суровость формальных правил. Применение формальных правил влечет снижение административных издержек, но при этом и возможностей учета конкретных обстоятельств.</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Существуют следующие методы применения налога на вмененный доход:</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1. Налогообложение валовой выручки.</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Законодательство некоторых стран (к примеру, Франции и стран, на которые </w:t>
      </w:r>
      <w:r w:rsidR="00F92C99" w:rsidRPr="00E53457">
        <w:rPr>
          <w:sz w:val="28"/>
          <w:szCs w:val="28"/>
        </w:rPr>
        <w:t>оказала</w:t>
      </w:r>
      <w:r w:rsidRPr="00E53457">
        <w:rPr>
          <w:sz w:val="28"/>
          <w:szCs w:val="28"/>
        </w:rPr>
        <w:t xml:space="preserve"> влияние французская практика налогообложения, в том числе африканских стран, бывших ранее французскими колониями) предусматривает минимальный вмененный налог, при котором налогооблагаемый доход предприятия не может быть меньше определенного процента от валовой выручки предприятия. Для предприятий такой налог имеет экономический эффект скорее как у налога с оборота, чем налога на доход.</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Налог на валовую выручку несовершенен, так как имеет эффект каскада (если он взимается не только при продажах конечному производителю, но и при производстве промежуточной продукции), то есть многократно облагает некоторые доходы, когда таким налогом облагаются фирмы, включенные в одну производственную цепочку. Если такие фирмы объединяются, их налоговые обязательства могут уменьшиться. При этом степень интеграции фирм может зависеть от того, платят ли фирмы налог на основе вменения. </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Другая проблема, связанная с этим типом минимального налога, состоит в том, что доход составляет значительно варьирующуюся долю от валовой выручки. В зависимости от отрасли, степени интеграции конкретного производства, вида производимого продукта или услуги, использование фиксированного процента от выручки для оценки валового дохода может приводить к значительным неточностям. Эту проблему пытаются решить в некоторых странах (например, во Франции) путем классификации налогоплательщиков по видам деятельности с особым процентом для каждого, определенным в результате изучения отраслей. </w:t>
      </w:r>
      <w:r w:rsidR="00F92C99" w:rsidRPr="00E53457">
        <w:rPr>
          <w:sz w:val="28"/>
          <w:szCs w:val="28"/>
        </w:rPr>
        <w:t>Э</w:t>
      </w:r>
      <w:r w:rsidRPr="00E53457">
        <w:rPr>
          <w:sz w:val="28"/>
          <w:szCs w:val="28"/>
        </w:rPr>
        <w:t xml:space="preserve">тот вид вменения может применяться как исключительный способ обложения дохода или как минимальный налог, или как </w:t>
      </w:r>
      <w:r w:rsidRPr="00E53457">
        <w:rPr>
          <w:iCs/>
          <w:sz w:val="28"/>
          <w:szCs w:val="28"/>
        </w:rPr>
        <w:t>forfait</w:t>
      </w:r>
      <w:r w:rsidRPr="00E53457">
        <w:rPr>
          <w:sz w:val="28"/>
          <w:szCs w:val="28"/>
        </w:rPr>
        <w:t xml:space="preserve">. Такой усложненный подход уменьшает неточность вменения, но делает более сложным его применение, в частности для налогоплательщиков, функционирующих в нескольких отраслях. Кроме того, обеспечить большую точность можно только путем эмпирических исследований границ фактической прибыли, что требует значительных ресурсов и может быть проблематичным при общей экономической нестабильности. </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Вмененный налог на базе выручки может также сталкиваться с проблемой инфорсмента и в результате с неравномерностью его применения. Если налогоплательщик не декларирует свою валовую выручку, он может избежать вменения. То есть основная проблема проверки отчетности – определение валовой выручки не разрешается этим видом налогообложения. Соответственно, трудно ожидать роста поступлений от таких налогоплательщиков, как независимые специалисты, выручку которых трудно установить, и более вероятно применение к таким плательщикам, которым трудно скрыть выручку. </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Кроме прочего, налог на валовую выручку имеет значительный искажающий эффект. При эластичных кривых спроса и предложения, что часто наблюдается в долгосрочном периоде, такой налог может приводить к существенному снижению объема производства в тех отраслях, где он применяется, и как следствие к потерям в общественном благосостоянии. Правда, данное обстоятельство в меньшей степени относится к минимальному налогу на валовую выручку, чем распространяющемуся на всех плательщиков. Но при неправильной оценке доходности определенного вида деятельности (или при недооценке зависимости доходности от локализации бизнеса) может оказаться, что он применяется к большинству предприятий в этой сфере, и тогда искажения могут оказаться существенными.</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Альтернативно, в некоторых странах (например, в Сьерра-Леоне) принято устанавливать вменение на основе валовой выручки как оспоримое. Хотя эта альтернатива разрешает часть проблем налога от валовой выручки, остальные проблемы этого налога сохраняются.</w:t>
      </w:r>
    </w:p>
    <w:p w:rsidR="00F42DCE"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2. Процент от активов.</w:t>
      </w:r>
    </w:p>
    <w:p w:rsidR="00321BEF" w:rsidRPr="00E53457" w:rsidRDefault="00F42DCE" w:rsidP="00E53457">
      <w:pPr>
        <w:pStyle w:val="a6"/>
        <w:suppressAutoHyphens/>
        <w:spacing w:before="0" w:beforeAutospacing="0" w:after="0" w:afterAutospacing="0" w:line="360" w:lineRule="auto"/>
        <w:ind w:firstLine="709"/>
        <w:jc w:val="both"/>
        <w:rPr>
          <w:sz w:val="28"/>
          <w:szCs w:val="28"/>
        </w:rPr>
      </w:pPr>
      <w:r w:rsidRPr="00E53457">
        <w:rPr>
          <w:sz w:val="28"/>
          <w:szCs w:val="28"/>
        </w:rPr>
        <w:t>Некоторые страны, в том числе Аргентина, Колумбия, Мексика и Венесуэла, применяют минимальные налоги на основе фиксированного процента от активов предприятия. в боливии такой налог в течение некоторого времени замещал налог на доход корпораций и представлял собой исключительное вменение. база налога варьируется от валовых активов (Аргентина) до чистых активов, т.е. активов за вычетом задолженности (Колумбия), с мексиканским налогом, занимающим промежуточное положение, при котором часть задолженностей вычитаема. Экономические основания для налога на активы в том, что инвесторы могут ожидать ex ante получения определенной нормы доходности на свои активы.</w:t>
      </w:r>
      <w:r w:rsidR="00321BEF" w:rsidRPr="00E53457">
        <w:rPr>
          <w:sz w:val="28"/>
          <w:szCs w:val="28"/>
        </w:rPr>
        <w:t xml:space="preserve"> Такое обложение можно рассматривать как несправедливое, поскольку доходность ex post не совпадает с ожидаемой, причем несовпадение не всегда обусловлено действиями инвесторов. Такие расхождения могут значительно варьироваться между видами деятельности. Наконец, и ожидаемая доходность может сильно различаться в различных отраслях, например в силу различий в рискованности предпринимательства.</w:t>
      </w:r>
    </w:p>
    <w:p w:rsidR="0035034D" w:rsidRPr="00E53457" w:rsidRDefault="0035034D" w:rsidP="00E53457">
      <w:pPr>
        <w:pStyle w:val="a6"/>
        <w:suppressAutoHyphens/>
        <w:spacing w:before="0" w:beforeAutospacing="0" w:after="0" w:afterAutospacing="0" w:line="360" w:lineRule="auto"/>
        <w:ind w:firstLine="709"/>
        <w:jc w:val="both"/>
        <w:rPr>
          <w:sz w:val="28"/>
          <w:szCs w:val="28"/>
        </w:rPr>
      </w:pPr>
      <w:r w:rsidRPr="00E53457">
        <w:rPr>
          <w:sz w:val="28"/>
          <w:szCs w:val="28"/>
        </w:rPr>
        <w:t>3. Метод контракта.</w:t>
      </w:r>
    </w:p>
    <w:p w:rsidR="0035034D" w:rsidRPr="00E53457" w:rsidRDefault="0035034D" w:rsidP="00E53457">
      <w:pPr>
        <w:pStyle w:val="a6"/>
        <w:suppressAutoHyphens/>
        <w:spacing w:before="0" w:beforeAutospacing="0" w:after="0" w:afterAutospacing="0" w:line="360" w:lineRule="auto"/>
        <w:ind w:firstLine="709"/>
        <w:jc w:val="both"/>
        <w:rPr>
          <w:sz w:val="28"/>
          <w:szCs w:val="28"/>
        </w:rPr>
      </w:pPr>
      <w:r w:rsidRPr="00E53457">
        <w:rPr>
          <w:sz w:val="28"/>
          <w:szCs w:val="28"/>
        </w:rPr>
        <w:t>Метод контракта (</w:t>
      </w:r>
      <w:r w:rsidRPr="00E53457">
        <w:rPr>
          <w:iCs/>
          <w:sz w:val="28"/>
          <w:szCs w:val="28"/>
        </w:rPr>
        <w:t>forfait</w:t>
      </w:r>
      <w:r w:rsidRPr="00E53457">
        <w:rPr>
          <w:sz w:val="28"/>
          <w:szCs w:val="28"/>
        </w:rPr>
        <w:t xml:space="preserve">) некоторое время широко использовался во Франции, хотя позднее его значение уменьшилось. Налогоплательщики подлежат обложению по этой системе, если их годовой оборот ниже определенной величины. </w:t>
      </w:r>
      <w:r w:rsidR="00F92C99" w:rsidRPr="00E53457">
        <w:rPr>
          <w:sz w:val="28"/>
          <w:szCs w:val="28"/>
        </w:rPr>
        <w:t>К</w:t>
      </w:r>
      <w:r w:rsidRPr="00E53457">
        <w:rPr>
          <w:sz w:val="28"/>
          <w:szCs w:val="28"/>
        </w:rPr>
        <w:t xml:space="preserve">онтрактные методы отличаются от других методов вменения в том, что их применение основано на предварительном соглашении между налогоплательщиком и налоговыми властями по установлению налоговых обязательств относительно оцененного, а не фактического дохода. Методология определения налогооблагаемого дохода для целей </w:t>
      </w:r>
      <w:r w:rsidRPr="00E53457">
        <w:rPr>
          <w:iCs/>
          <w:sz w:val="28"/>
          <w:szCs w:val="28"/>
        </w:rPr>
        <w:t>forfait</w:t>
      </w:r>
      <w:r w:rsidRPr="00E53457">
        <w:rPr>
          <w:sz w:val="28"/>
          <w:szCs w:val="28"/>
        </w:rPr>
        <w:t xml:space="preserve"> налоговыми инспекторами устанавливается административными инструкциями и постановлениями.</w:t>
      </w:r>
    </w:p>
    <w:p w:rsidR="0035034D" w:rsidRPr="00E53457" w:rsidRDefault="0035034D"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Методы оценки для определения сумм </w:t>
      </w:r>
      <w:r w:rsidRPr="00E53457">
        <w:rPr>
          <w:iCs/>
          <w:sz w:val="28"/>
          <w:szCs w:val="28"/>
        </w:rPr>
        <w:t xml:space="preserve">forfait </w:t>
      </w:r>
      <w:r w:rsidRPr="00E53457">
        <w:rPr>
          <w:sz w:val="28"/>
          <w:szCs w:val="28"/>
        </w:rPr>
        <w:t xml:space="preserve">основаны на статистическом анализе и на детальной классификации отраслей, что требует большого объема сложной работы. При применение контрактных методов требуется высокая квалификации налоговых инспекторов, и контроль вышестоящих органов за их деятельностью. </w:t>
      </w:r>
    </w:p>
    <w:p w:rsidR="00775E66" w:rsidRPr="00E53457" w:rsidRDefault="00775E66" w:rsidP="00E53457">
      <w:pPr>
        <w:pStyle w:val="a6"/>
        <w:suppressAutoHyphens/>
        <w:spacing w:before="0" w:beforeAutospacing="0" w:after="0" w:afterAutospacing="0" w:line="360" w:lineRule="auto"/>
        <w:ind w:firstLine="709"/>
        <w:jc w:val="both"/>
        <w:rPr>
          <w:sz w:val="28"/>
          <w:szCs w:val="28"/>
        </w:rPr>
      </w:pPr>
      <w:r w:rsidRPr="00E53457">
        <w:rPr>
          <w:sz w:val="28"/>
          <w:szCs w:val="28"/>
        </w:rPr>
        <w:t>4. Методы, основанные на обороте.</w:t>
      </w:r>
    </w:p>
    <w:p w:rsidR="00775E66" w:rsidRPr="00E53457" w:rsidRDefault="00775E66"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Некоторые страны облагают налогом отдельные виды дохода или доход от конкретных видов деятельности на базе оборота с вмененными вычетами, основанными на пропорциях, распространенных в отрасли или для данного типа дохода. Например, во Франции для дохода от аренды недвижимости в городе взамен вычетов на амортизацию, страхование и управление позволены вычеты, составляющие определенный процент от валовой выручки, причем остальные расходы вычитаются в фактическом размере. </w:t>
      </w:r>
    </w:p>
    <w:p w:rsidR="00775E66" w:rsidRPr="00E53457" w:rsidRDefault="00775E66"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Этот метод корректнее метода валовой выручки, но для его применения требуются большие затраты на исследования. Применение этого метода целесообразно только для малого бизнеса, так как разнообразие видов деятельности в крупных фирмах могут привести не к упрощению, а к усложнению учета в результате его использования. </w:t>
      </w:r>
    </w:p>
    <w:p w:rsidR="00775E66" w:rsidRPr="00E53457" w:rsidRDefault="00775E66" w:rsidP="00E53457">
      <w:pPr>
        <w:pStyle w:val="a6"/>
        <w:suppressAutoHyphens/>
        <w:spacing w:before="0" w:beforeAutospacing="0" w:after="0" w:afterAutospacing="0" w:line="360" w:lineRule="auto"/>
        <w:ind w:firstLine="709"/>
        <w:jc w:val="both"/>
        <w:rPr>
          <w:sz w:val="28"/>
          <w:szCs w:val="28"/>
        </w:rPr>
      </w:pPr>
      <w:r w:rsidRPr="00E53457">
        <w:rPr>
          <w:sz w:val="28"/>
          <w:szCs w:val="28"/>
        </w:rPr>
        <w:t>5. Руководства налогообложения «по стандарту» (standard assessment guides.).</w:t>
      </w:r>
    </w:p>
    <w:p w:rsidR="00775E66" w:rsidRPr="00E53457" w:rsidRDefault="00775E66"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Налогообложение «по стандарту» (например, </w:t>
      </w:r>
      <w:r w:rsidRPr="00E53457">
        <w:rPr>
          <w:iCs/>
          <w:sz w:val="28"/>
          <w:szCs w:val="28"/>
        </w:rPr>
        <w:t>tachshivim</w:t>
      </w:r>
      <w:r w:rsidRPr="00E53457">
        <w:rPr>
          <w:sz w:val="28"/>
          <w:szCs w:val="28"/>
        </w:rPr>
        <w:t xml:space="preserve">, использовавшийся в Израиле, впоследствии замененный </w:t>
      </w:r>
      <w:r w:rsidRPr="00E53457">
        <w:rPr>
          <w:iCs/>
          <w:sz w:val="28"/>
          <w:szCs w:val="28"/>
        </w:rPr>
        <w:t>tadrihim</w:t>
      </w:r>
      <w:r w:rsidRPr="00E53457">
        <w:rPr>
          <w:sz w:val="28"/>
          <w:szCs w:val="28"/>
        </w:rPr>
        <w:t>) и аналогичные ему методы используются в нескольких странах (кроме Израиля подобные методы используют Испания и Турция). Это в чистом виде вмененные, рассчитанные на основании косвенных признаков налоги. Вмененный доход устанавливается в зависимости от вида деятельности малого предприятия и от наличия в его распоряжении необходимых для деятельности факторов, которые трудно скрыть при проверке (число посадочных мест в ресторане, кресел в парикмахерской и так далее).</w:t>
      </w:r>
      <w:r w:rsidR="005A78DC" w:rsidRPr="00E53457">
        <w:rPr>
          <w:sz w:val="28"/>
          <w:szCs w:val="28"/>
        </w:rPr>
        <w:t xml:space="preserve"> Такой подход применяется и в РФ.</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6. Налогообложение сельского хозяйства.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Во многих странах доход от сельского хозяйства облагается на вмененной основе, если облагается вообще. Обычным подходом является вменение дохода на основе площади и качества земли. Оценивается нормальный доход, который может быть получен при данной производительности этого типа земли, средних издержек производства и цены продукции. при неурожае в области возможно освобождение. Определенная деятельность может исключаться из вмененного налогообложения, а крупные предприятия могут облагаться на базе фактического дохода.</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Например, во Франции фермеры с оборотом до 500000 франков подлежат налогообложению на вмененной основе. налогооблагаемый доход от сельскохозяйственной деятельности определяется в соответствии с: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(1) площадью земли, которая возделывается или может возделываться,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(2) типом культуры,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(3) регионом.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Для каждого региона средняя прибыль от каждого вида сельскохозяйственных культур ежегодно определяется комитетом, состоящим из представителей налоговой администрации и фермеров. Если природные бедствия приводят к потерям урожая в регионе, к индивидуальным фермерам, которые пострадали от бедствия, может применяться снижение налога.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p>
    <w:p w:rsidR="00B158ED" w:rsidRPr="00E53457" w:rsidRDefault="00B158ED" w:rsidP="00E53457">
      <w:pPr>
        <w:suppressAutoHyphens/>
        <w:spacing w:line="360" w:lineRule="auto"/>
        <w:ind w:firstLine="709"/>
        <w:jc w:val="both"/>
        <w:outlineLvl w:val="0"/>
        <w:rPr>
          <w:b/>
          <w:sz w:val="28"/>
          <w:szCs w:val="28"/>
        </w:rPr>
      </w:pPr>
      <w:bookmarkStart w:id="2" w:name="_Toc157520533"/>
      <w:r w:rsidRPr="00E53457">
        <w:rPr>
          <w:b/>
          <w:sz w:val="28"/>
          <w:szCs w:val="28"/>
        </w:rPr>
        <w:t>2. Основные принципы расчета и уплаты единого налога на вмененный доход</w:t>
      </w:r>
      <w:r w:rsidR="006D68AD" w:rsidRPr="00E53457">
        <w:rPr>
          <w:b/>
          <w:sz w:val="28"/>
          <w:szCs w:val="28"/>
        </w:rPr>
        <w:t xml:space="preserve"> в РФ</w:t>
      </w:r>
      <w:bookmarkEnd w:id="2"/>
    </w:p>
    <w:p w:rsidR="005A78DC" w:rsidRPr="00E53457" w:rsidRDefault="005A78DC" w:rsidP="00E53457">
      <w:pPr>
        <w:suppressAutoHyphens/>
        <w:spacing w:line="360" w:lineRule="auto"/>
        <w:ind w:firstLine="709"/>
        <w:jc w:val="both"/>
        <w:rPr>
          <w:b/>
          <w:sz w:val="28"/>
          <w:szCs w:val="28"/>
        </w:rPr>
      </w:pP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Основной целью введения единого налога на вмененный доход в РФ являлось привлечение к уплате налогов организаций и индивидуальных предпринимателей, осуществляющих деятельность в сферах, где налоговый контроль значительно затруднен, в том числе в розничной торговле, общественном питании, бытовом и транспортном обслуживании, т.е. тех налогоплательщиков, которые расчеты с покупателями и заказчиками производят преимущественно в наличной денежной форме.</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может применяться по решению субъекта Российской Федерации в отношении следующих видов предпринимательской деятельности:</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1) оказания бытовых услуг;</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2) оказания ветеринарных услуг;</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3) оказания услуг по ремонту, техническому обслуживанию и мойке автотранспортных средств;</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4) розничной торговли, осуществляемой через магазины и павильоны с площадью торгового зала по каждому объекту организации торговли не более 150 квадратных метров, палатки, лотки и другие объекты организации торговли, в том числе не имеющие стационарной торговой площади;</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5) оказания услуг по хранению автотранспортных средств на платных стоянках;</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6) оказания услуг общественного питания, осуществляемых при использовании зала площадью не более 150 квадратных метров;</w:t>
      </w:r>
    </w:p>
    <w:p w:rsidR="00061F5A" w:rsidRPr="00E53457" w:rsidRDefault="00061F5A"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7) оказания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p w:rsidR="00C26AC3" w:rsidRPr="00E53457" w:rsidRDefault="00C26AC3"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8) распространения и (или) размещения наружной рекламы.</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Единый налог на вмененный доход для определенных видов деятельности устанавливается и вводится в действие нормативными правовыми актами законодательных (представительных) органов государственной власти субъектов Российской Федерации в соответствии с указанным Федеральным законом, обязателен к уплате на территориях соответствующих субъектов Российской Федерации.</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 xml:space="preserve">Нормативными правовыми актами законодательных (представительных) органов государственной власти субъектов Российской Федерации определяются: </w:t>
      </w:r>
    </w:p>
    <w:p w:rsidR="005A78DC" w:rsidRPr="00E53457" w:rsidRDefault="005A78DC" w:rsidP="00E53457">
      <w:pPr>
        <w:pStyle w:val="par"/>
        <w:numPr>
          <w:ilvl w:val="0"/>
          <w:numId w:val="2"/>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сферы предпринимательской деятельности в пределах перечня, установленного федеральным законодательством; </w:t>
      </w:r>
    </w:p>
    <w:p w:rsidR="005A78DC" w:rsidRPr="00E53457" w:rsidRDefault="005A78DC" w:rsidP="00E53457">
      <w:pPr>
        <w:pStyle w:val="par"/>
        <w:numPr>
          <w:ilvl w:val="0"/>
          <w:numId w:val="2"/>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размер вмененного дохода и иные составляющие формул расчета сумм единого налога; </w:t>
      </w:r>
    </w:p>
    <w:p w:rsidR="005A78DC" w:rsidRPr="00E53457" w:rsidRDefault="005A78DC" w:rsidP="00E53457">
      <w:pPr>
        <w:pStyle w:val="par"/>
        <w:numPr>
          <w:ilvl w:val="0"/>
          <w:numId w:val="2"/>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налоговые льготы; </w:t>
      </w:r>
    </w:p>
    <w:p w:rsidR="00F92C99" w:rsidRPr="00E53457" w:rsidRDefault="005A78DC" w:rsidP="00E53457">
      <w:pPr>
        <w:pStyle w:val="par"/>
        <w:numPr>
          <w:ilvl w:val="0"/>
          <w:numId w:val="2"/>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порядок и сроки уплаты единого налога; </w:t>
      </w:r>
    </w:p>
    <w:p w:rsidR="005A78DC" w:rsidRPr="00E53457" w:rsidRDefault="005A78DC" w:rsidP="00E53457">
      <w:pPr>
        <w:pStyle w:val="par"/>
        <w:numPr>
          <w:ilvl w:val="0"/>
          <w:numId w:val="2"/>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иные особенности взимания единого налога в соответствии с законодательством Российской Федерации.</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Объектом налогообложения при применении единого налога является вмененный доход на очередной календарный месяц, определяемый как потенциально возможный валовой доход плательщика единого налога за вычетом потенциально необходимых затрат и рассчитываемый с учетом совокупности факторов, непосредственно влияющих на получение такого дохода, на основе данных, полученных путем статистических исследований, в ходе проверок налоговых и иных государственных органов, а также оценки независимых организаций.</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Расчет суммы единого налога производится с учетом:</w:t>
      </w:r>
    </w:p>
    <w:p w:rsidR="005A78DC" w:rsidRPr="00E53457" w:rsidRDefault="005A78DC" w:rsidP="00E53457">
      <w:pPr>
        <w:pStyle w:val="par"/>
        <w:numPr>
          <w:ilvl w:val="0"/>
          <w:numId w:val="3"/>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налоговой ставки, </w:t>
      </w:r>
    </w:p>
    <w:p w:rsidR="005A78DC" w:rsidRPr="00E53457" w:rsidRDefault="005A78DC" w:rsidP="00E53457">
      <w:pPr>
        <w:pStyle w:val="par"/>
        <w:numPr>
          <w:ilvl w:val="0"/>
          <w:numId w:val="3"/>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значения базовой доходности на единицу основного физического показателя (квадратный метр торговой площади, количество рабочих мест и т.д.), </w:t>
      </w:r>
    </w:p>
    <w:p w:rsidR="005A78DC" w:rsidRPr="00E53457" w:rsidRDefault="005A78DC" w:rsidP="00E53457">
      <w:pPr>
        <w:pStyle w:val="par"/>
        <w:numPr>
          <w:ilvl w:val="0"/>
          <w:numId w:val="3"/>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числа физических показателей, влияющих на результаты предпринимательской деятельности, а также повышающих (понижающих) коэффициентов базовой доходности, которые определяются в зависимости от условий и обстоятельств осуществления предпринимательской деятельности.</w:t>
      </w:r>
    </w:p>
    <w:p w:rsidR="005A78DC" w:rsidRPr="00E53457" w:rsidRDefault="005A78DC" w:rsidP="00E53457">
      <w:pPr>
        <w:pStyle w:val="aji5m00"/>
        <w:suppressAutoHyphens/>
        <w:spacing w:line="360" w:lineRule="auto"/>
        <w:ind w:firstLine="709"/>
        <w:rPr>
          <w:sz w:val="28"/>
          <w:szCs w:val="28"/>
        </w:rPr>
      </w:pPr>
      <w:r w:rsidRPr="00E53457">
        <w:rPr>
          <w:sz w:val="28"/>
          <w:szCs w:val="28"/>
        </w:rPr>
        <w:t>Для исчисления суммы единого налога в Ростовской области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 (ст. 346.29 НК РФ):</w:t>
      </w:r>
    </w:p>
    <w:p w:rsidR="005A78DC" w:rsidRPr="00E53457" w:rsidRDefault="00E53457" w:rsidP="00E53457">
      <w:pPr>
        <w:pStyle w:val="aji5m00"/>
        <w:suppressAutoHyphens/>
        <w:spacing w:line="360" w:lineRule="auto"/>
        <w:ind w:firstLine="709"/>
        <w:rPr>
          <w:sz w:val="28"/>
          <w:szCs w:val="28"/>
        </w:rPr>
      </w:pPr>
      <w:r>
        <w:rPr>
          <w:sz w:val="28"/>
          <w:szCs w:val="28"/>
        </w:rPr>
        <w:br w:type="page"/>
      </w:r>
      <w:r w:rsidR="005A78DC" w:rsidRPr="00E53457">
        <w:rPr>
          <w:sz w:val="28"/>
          <w:szCs w:val="28"/>
        </w:rPr>
        <w:t>Таблица 2.1</w:t>
      </w:r>
      <w:r>
        <w:rPr>
          <w:sz w:val="28"/>
          <w:szCs w:val="28"/>
        </w:rPr>
        <w:t xml:space="preserve"> </w:t>
      </w:r>
      <w:r w:rsidR="005A78DC" w:rsidRPr="00E53457">
        <w:rPr>
          <w:sz w:val="28"/>
          <w:szCs w:val="28"/>
        </w:rPr>
        <w:t>Фактические показатели и базовая доходность в месяц для исчисления</w:t>
      </w:r>
      <w:r>
        <w:rPr>
          <w:sz w:val="28"/>
          <w:szCs w:val="28"/>
        </w:rPr>
        <w:t xml:space="preserve"> </w:t>
      </w:r>
      <w:r w:rsidR="005A78DC" w:rsidRPr="00E53457">
        <w:rPr>
          <w:sz w:val="28"/>
          <w:szCs w:val="28"/>
        </w:rPr>
        <w:t>суммы ЕНВД в зависимости от вида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40"/>
        <w:gridCol w:w="1581"/>
        <w:gridCol w:w="1192"/>
      </w:tblGrid>
      <w:tr w:rsidR="005A78DC" w:rsidRPr="00E53457" w:rsidTr="00E53457">
        <w:trPr>
          <w:trHeight w:val="728"/>
        </w:trPr>
        <w:tc>
          <w:tcPr>
            <w:tcW w:w="3167" w:type="dxa"/>
            <w:vMerge w:val="restart"/>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 xml:space="preserve">Виды предпринимательской </w:t>
            </w:r>
          </w:p>
          <w:p w:rsidR="005A78DC" w:rsidRPr="00E53457" w:rsidRDefault="005A78DC" w:rsidP="00E53457">
            <w:pPr>
              <w:pStyle w:val="aji5m00"/>
              <w:suppressAutoHyphens/>
              <w:spacing w:line="360" w:lineRule="auto"/>
              <w:ind w:firstLine="0"/>
              <w:jc w:val="left"/>
              <w:rPr>
                <w:sz w:val="20"/>
                <w:szCs w:val="20"/>
              </w:rPr>
            </w:pPr>
            <w:r w:rsidRPr="00E53457">
              <w:rPr>
                <w:sz w:val="20"/>
                <w:szCs w:val="20"/>
              </w:rPr>
              <w:t>деятельности</w:t>
            </w:r>
          </w:p>
        </w:tc>
        <w:tc>
          <w:tcPr>
            <w:tcW w:w="3240" w:type="dxa"/>
            <w:vMerge w:val="restart"/>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 xml:space="preserve">Физические </w:t>
            </w:r>
          </w:p>
          <w:p w:rsidR="005A78DC" w:rsidRPr="00E53457" w:rsidRDefault="005A78DC" w:rsidP="00E53457">
            <w:pPr>
              <w:pStyle w:val="aji5m00"/>
              <w:suppressAutoHyphens/>
              <w:spacing w:line="360" w:lineRule="auto"/>
              <w:ind w:firstLine="0"/>
              <w:jc w:val="left"/>
              <w:rPr>
                <w:sz w:val="20"/>
                <w:szCs w:val="20"/>
              </w:rPr>
            </w:pPr>
            <w:r w:rsidRPr="00E53457">
              <w:rPr>
                <w:sz w:val="20"/>
                <w:szCs w:val="20"/>
              </w:rPr>
              <w:t>показатели</w:t>
            </w:r>
          </w:p>
        </w:tc>
        <w:tc>
          <w:tcPr>
            <w:tcW w:w="2773" w:type="dxa"/>
            <w:gridSpan w:val="2"/>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 xml:space="preserve">Базовая </w:t>
            </w:r>
          </w:p>
          <w:p w:rsidR="005A78DC" w:rsidRPr="00E53457" w:rsidRDefault="005A78DC" w:rsidP="00E53457">
            <w:pPr>
              <w:pStyle w:val="aji5m00"/>
              <w:suppressAutoHyphens/>
              <w:spacing w:line="360" w:lineRule="auto"/>
              <w:ind w:firstLine="0"/>
              <w:jc w:val="left"/>
              <w:rPr>
                <w:sz w:val="20"/>
                <w:szCs w:val="20"/>
              </w:rPr>
            </w:pPr>
            <w:r w:rsidRPr="00E53457">
              <w:rPr>
                <w:sz w:val="20"/>
                <w:szCs w:val="20"/>
              </w:rPr>
              <w:t>доходность в месяц, руб.</w:t>
            </w:r>
          </w:p>
        </w:tc>
      </w:tr>
      <w:tr w:rsidR="005A78DC" w:rsidRPr="00E53457" w:rsidTr="00E53457">
        <w:trPr>
          <w:trHeight w:val="727"/>
        </w:trPr>
        <w:tc>
          <w:tcPr>
            <w:tcW w:w="3167" w:type="dxa"/>
            <w:vMerge/>
          </w:tcPr>
          <w:p w:rsidR="005A78DC" w:rsidRPr="00E53457" w:rsidRDefault="005A78DC" w:rsidP="00E53457">
            <w:pPr>
              <w:pStyle w:val="aji5m00"/>
              <w:suppressAutoHyphens/>
              <w:spacing w:line="360" w:lineRule="auto"/>
              <w:ind w:firstLine="0"/>
              <w:jc w:val="left"/>
              <w:rPr>
                <w:sz w:val="20"/>
                <w:szCs w:val="20"/>
              </w:rPr>
            </w:pPr>
          </w:p>
        </w:tc>
        <w:tc>
          <w:tcPr>
            <w:tcW w:w="3240" w:type="dxa"/>
            <w:vMerge/>
          </w:tcPr>
          <w:p w:rsidR="005A78DC" w:rsidRPr="00E53457" w:rsidRDefault="005A78DC" w:rsidP="00E53457">
            <w:pPr>
              <w:pStyle w:val="aji5m00"/>
              <w:suppressAutoHyphens/>
              <w:spacing w:line="360" w:lineRule="auto"/>
              <w:ind w:firstLine="0"/>
              <w:jc w:val="left"/>
              <w:rPr>
                <w:sz w:val="20"/>
                <w:szCs w:val="20"/>
              </w:rPr>
            </w:pPr>
          </w:p>
        </w:tc>
        <w:tc>
          <w:tcPr>
            <w:tcW w:w="1581"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2004</w:t>
            </w:r>
          </w:p>
        </w:tc>
        <w:tc>
          <w:tcPr>
            <w:tcW w:w="1192"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2005-2006</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Оказание бытовых услуг</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работников, включая индивидуального предпринимателя</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5000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7500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Оказание ветеринарных услуг</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работников, включая индивидуального предпринимателя</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5000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7500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Оказание услуг по ремонту, техническому обслуживанию и мойке автотранспортных средств</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работников, включая индивидуального предпринимателя</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8000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12000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Разносная (развозная) торговля</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работников, включая индивидуального предпринимателя</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3000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4500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Розничная торговля, осуществляемая через объекты стационарной торговой сети, имеющие торговые залы</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Площадь торгового зала (в квадратных метрах, не более 150)</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1200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1800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Общественное питание</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Площадь зала обслуживания посетителей (в квадратных метрах)</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700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1000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Розничная торговля, осуществляемая через объекты стационарной торговой сети, не имеющие торговых залов</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торговых мест</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6000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9000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Розничная торговля, осуществляемая через объекты не стационарной торговой сети</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торговых мест</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6000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9000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Оказание автотранспортных услуг по перевозке пассажиров и грузов</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Количество транспортных средств, используемых для перевозки пассажиров и грузов</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4000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6000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Оказание услуг по хранению автотранспортных средств на платных стоянках</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Площадь стоянки (в квадратных метрах)</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50</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50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Распространение и (или) размещение печатной и (или) полиграфической рекламы</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Площадь информационного поля печатной и (или) полиграфической наружной рекламы (в квадратных метрах)</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3000</w:t>
            </w:r>
          </w:p>
        </w:tc>
      </w:tr>
      <w:tr w:rsidR="005A78DC" w:rsidRPr="00E53457" w:rsidTr="00E53457">
        <w:tc>
          <w:tcPr>
            <w:tcW w:w="3167"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Распространение и (или) размещение посредством световых и электронных табло наружной рекламы</w:t>
            </w:r>
          </w:p>
        </w:tc>
        <w:tc>
          <w:tcPr>
            <w:tcW w:w="3240" w:type="dxa"/>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Площадь информационного поля световых и (или) электронных табло</w:t>
            </w:r>
          </w:p>
        </w:tc>
        <w:tc>
          <w:tcPr>
            <w:tcW w:w="1581"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w:t>
            </w:r>
          </w:p>
        </w:tc>
        <w:tc>
          <w:tcPr>
            <w:tcW w:w="1192" w:type="dxa"/>
            <w:vAlign w:val="center"/>
          </w:tcPr>
          <w:p w:rsidR="005A78DC" w:rsidRPr="00E53457" w:rsidRDefault="005A78DC" w:rsidP="00E53457">
            <w:pPr>
              <w:pStyle w:val="aji5m00"/>
              <w:suppressAutoHyphens/>
              <w:spacing w:line="360" w:lineRule="auto"/>
              <w:ind w:firstLine="0"/>
              <w:jc w:val="left"/>
              <w:rPr>
                <w:sz w:val="20"/>
                <w:szCs w:val="20"/>
              </w:rPr>
            </w:pPr>
            <w:r w:rsidRPr="00E53457">
              <w:rPr>
                <w:sz w:val="20"/>
                <w:szCs w:val="20"/>
              </w:rPr>
              <w:t>4000</w:t>
            </w:r>
          </w:p>
        </w:tc>
      </w:tr>
    </w:tbl>
    <w:p w:rsidR="005A78DC" w:rsidRPr="00E53457" w:rsidRDefault="005A78DC" w:rsidP="00E53457">
      <w:pPr>
        <w:pStyle w:val="aji5m00"/>
        <w:suppressAutoHyphens/>
        <w:spacing w:line="360" w:lineRule="auto"/>
        <w:ind w:firstLine="709"/>
        <w:rPr>
          <w:sz w:val="28"/>
          <w:szCs w:val="28"/>
        </w:rPr>
      </w:pPr>
      <w:r w:rsidRPr="00E53457">
        <w:rPr>
          <w:sz w:val="28"/>
          <w:szCs w:val="28"/>
        </w:rPr>
        <w:t xml:space="preserve"> </w:t>
      </w:r>
    </w:p>
    <w:p w:rsidR="005A78DC" w:rsidRPr="00E53457" w:rsidRDefault="005A78DC" w:rsidP="00E53457">
      <w:pPr>
        <w:suppressAutoHyphens/>
        <w:spacing w:line="360" w:lineRule="auto"/>
        <w:ind w:firstLine="709"/>
        <w:jc w:val="both"/>
        <w:rPr>
          <w:sz w:val="28"/>
          <w:szCs w:val="28"/>
        </w:rPr>
      </w:pPr>
      <w:r w:rsidRPr="00E53457">
        <w:rPr>
          <w:sz w:val="28"/>
          <w:szCs w:val="28"/>
        </w:rPr>
        <w:t>Базовая доходность корректируется (умножается) на специальные коэффициенты К1, К2 и К3.</w:t>
      </w:r>
    </w:p>
    <w:p w:rsidR="005A78DC" w:rsidRPr="00E53457" w:rsidRDefault="005A78DC" w:rsidP="00E53457">
      <w:pPr>
        <w:suppressAutoHyphens/>
        <w:spacing w:line="360" w:lineRule="auto"/>
        <w:ind w:firstLine="709"/>
        <w:jc w:val="both"/>
        <w:rPr>
          <w:sz w:val="28"/>
          <w:szCs w:val="28"/>
        </w:rPr>
      </w:pPr>
      <w:r w:rsidRPr="00E53457">
        <w:rPr>
          <w:sz w:val="28"/>
          <w:szCs w:val="28"/>
        </w:rPr>
        <w:t>Корректирующий коэффициент К1, учитывающий совокупность особенностей ведения предпринимательской деятельности в различных муниципальных образованиях, особенностей населенного пункта или места расположения, а также места расположения внутри населенного пункта, определяется в зависимости от кадастровой стоимости земли (на основании данных Государственного земельного кадастра) по месту осуществления предпринимательской деятельности налогоплательщиком. В Ростовской области коэффициент К1 =1.</w:t>
      </w:r>
    </w:p>
    <w:p w:rsidR="005A78DC" w:rsidRPr="00E53457" w:rsidRDefault="005A78DC" w:rsidP="00E53457">
      <w:pPr>
        <w:pStyle w:val="aji5m00"/>
        <w:suppressAutoHyphens/>
        <w:spacing w:line="360" w:lineRule="auto"/>
        <w:ind w:firstLine="709"/>
        <w:rPr>
          <w:sz w:val="28"/>
          <w:szCs w:val="28"/>
        </w:rPr>
      </w:pPr>
      <w:r w:rsidRPr="00E53457">
        <w:rPr>
          <w:sz w:val="28"/>
          <w:szCs w:val="28"/>
        </w:rPr>
        <w:t>При определении величины базовой доходности субъекты Российской Федерации могут корректировать (умножать) базовую доходность на корректирующий коэффициент К2. Корректирующий коэффициент К2 учитывает совокупность особенностей ведения предпринимательской деятельности, площадь информационного поля световых и электронных табло, площадь информационного поля печатной и (или) полиграфической наружной рекламы и иные особенности,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и иные особенности.</w:t>
      </w:r>
    </w:p>
    <w:p w:rsidR="005A78DC" w:rsidRPr="00E53457" w:rsidRDefault="005A78DC" w:rsidP="00E53457">
      <w:pPr>
        <w:pStyle w:val="aji5m00"/>
        <w:suppressAutoHyphens/>
        <w:spacing w:line="360" w:lineRule="auto"/>
        <w:ind w:firstLine="709"/>
        <w:rPr>
          <w:sz w:val="28"/>
          <w:szCs w:val="28"/>
        </w:rPr>
      </w:pPr>
      <w:r w:rsidRPr="00E53457">
        <w:rPr>
          <w:sz w:val="28"/>
          <w:szCs w:val="28"/>
        </w:rPr>
        <w:t xml:space="preserve">Значения корректирующего коэффициента К2 определяются для всех категорий налогоплательщиков субъектами Российской Федерации на календарный год и могут быть установлены в пределах от 0,01 до 1 включительно.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Значения корректирующего коэффициента К2 устанавливаются на территории Ростовской области на календарный год и рассчитываются по следующей формуле: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К2 = Квд х Кмд,</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где Квд – расчетная  составляющая корректирующего коэффициента К2, определенная в</w:t>
      </w:r>
      <w:r w:rsidR="000F1698">
        <w:rPr>
          <w:sz w:val="28"/>
          <w:szCs w:val="28"/>
        </w:rPr>
        <w:t xml:space="preserve"> </w:t>
      </w:r>
      <w:r w:rsidRPr="00E53457">
        <w:rPr>
          <w:sz w:val="28"/>
          <w:szCs w:val="28"/>
        </w:rPr>
        <w:t>зависимости</w:t>
      </w:r>
      <w:r w:rsidR="000F1698">
        <w:rPr>
          <w:sz w:val="28"/>
          <w:szCs w:val="28"/>
        </w:rPr>
        <w:t xml:space="preserve"> </w:t>
      </w:r>
      <w:r w:rsidRPr="00E53457">
        <w:rPr>
          <w:sz w:val="28"/>
          <w:szCs w:val="28"/>
        </w:rPr>
        <w:t>от</w:t>
      </w:r>
      <w:r w:rsidR="000F1698">
        <w:rPr>
          <w:sz w:val="28"/>
          <w:szCs w:val="28"/>
        </w:rPr>
        <w:t xml:space="preserve"> </w:t>
      </w:r>
      <w:r w:rsidRPr="00E53457">
        <w:rPr>
          <w:sz w:val="28"/>
          <w:szCs w:val="28"/>
        </w:rPr>
        <w:t>вида</w:t>
      </w:r>
      <w:r w:rsidR="000F1698">
        <w:rPr>
          <w:sz w:val="28"/>
          <w:szCs w:val="28"/>
        </w:rPr>
        <w:t xml:space="preserve"> </w:t>
      </w:r>
      <w:r w:rsidRPr="00E53457">
        <w:rPr>
          <w:sz w:val="28"/>
          <w:szCs w:val="28"/>
        </w:rPr>
        <w:t xml:space="preserve">предпринимательской деятельности и  типа населенного пункта, </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Кмд – расчетная  составляющая корректирующего коэффициента К2, учитывающая особенности</w:t>
      </w:r>
      <w:r w:rsidR="000F1698">
        <w:rPr>
          <w:sz w:val="28"/>
          <w:szCs w:val="28"/>
        </w:rPr>
        <w:t xml:space="preserve"> </w:t>
      </w:r>
      <w:r w:rsidRPr="00E53457">
        <w:rPr>
          <w:sz w:val="28"/>
          <w:szCs w:val="28"/>
        </w:rPr>
        <w:t>места</w:t>
      </w:r>
      <w:r w:rsidR="000F1698">
        <w:rPr>
          <w:sz w:val="28"/>
          <w:szCs w:val="28"/>
        </w:rPr>
        <w:t xml:space="preserve"> </w:t>
      </w:r>
      <w:r w:rsidRPr="00E53457">
        <w:rPr>
          <w:sz w:val="28"/>
          <w:szCs w:val="28"/>
        </w:rPr>
        <w:t>ведения</w:t>
      </w:r>
      <w:r w:rsidR="000F1698">
        <w:rPr>
          <w:sz w:val="28"/>
          <w:szCs w:val="28"/>
        </w:rPr>
        <w:t xml:space="preserve"> </w:t>
      </w:r>
      <w:r w:rsidRPr="00E53457">
        <w:rPr>
          <w:sz w:val="28"/>
          <w:szCs w:val="28"/>
        </w:rPr>
        <w:t>предпринимательской деятельности.</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В таблице 2.</w:t>
      </w:r>
      <w:r w:rsidR="00A75276" w:rsidRPr="00E53457">
        <w:rPr>
          <w:sz w:val="28"/>
          <w:szCs w:val="28"/>
        </w:rPr>
        <w:t>2</w:t>
      </w:r>
      <w:r w:rsidRPr="00E53457">
        <w:rPr>
          <w:sz w:val="28"/>
          <w:szCs w:val="28"/>
        </w:rPr>
        <w:t xml:space="preserve"> приведены действующие значения Кмд.</w:t>
      </w:r>
    </w:p>
    <w:p w:rsidR="00E53457" w:rsidRDefault="00E53457" w:rsidP="00E53457">
      <w:pPr>
        <w:pStyle w:val="a6"/>
        <w:suppressAutoHyphens/>
        <w:spacing w:before="0" w:beforeAutospacing="0" w:after="0" w:afterAutospacing="0" w:line="360" w:lineRule="auto"/>
        <w:ind w:firstLine="709"/>
        <w:jc w:val="both"/>
        <w:rPr>
          <w:sz w:val="28"/>
          <w:szCs w:val="28"/>
        </w:rPr>
      </w:pP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Таблица 2.</w:t>
      </w:r>
      <w:r w:rsidR="00A75276" w:rsidRPr="00E53457">
        <w:rPr>
          <w:sz w:val="28"/>
          <w:szCs w:val="28"/>
        </w:rPr>
        <w:t>2</w:t>
      </w: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Расчетная составляющая корректирующего коэффициента базовой доходности К2, учитывающая особенности места ведения предпринимательской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2638"/>
      </w:tblGrid>
      <w:tr w:rsidR="005A78DC" w:rsidRPr="00E53457" w:rsidTr="00E53457">
        <w:trPr>
          <w:trHeight w:val="513"/>
        </w:trPr>
        <w:tc>
          <w:tcPr>
            <w:tcW w:w="6370" w:type="dxa"/>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Место ведения предпринимательской деятельности</w:t>
            </w:r>
          </w:p>
        </w:tc>
        <w:tc>
          <w:tcPr>
            <w:tcW w:w="2638" w:type="dxa"/>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Величина расчетной составляющей</w:t>
            </w:r>
          </w:p>
        </w:tc>
      </w:tr>
      <w:tr w:rsidR="005A78DC" w:rsidRPr="00E53457" w:rsidTr="00E53457">
        <w:trPr>
          <w:trHeight w:val="256"/>
        </w:trPr>
        <w:tc>
          <w:tcPr>
            <w:tcW w:w="6370" w:type="dxa"/>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Центр населенного пункта, территории вокзалов, аэропортов</w:t>
            </w:r>
          </w:p>
        </w:tc>
        <w:tc>
          <w:tcPr>
            <w:tcW w:w="2638" w:type="dxa"/>
            <w:vAlign w:val="center"/>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1</w:t>
            </w:r>
          </w:p>
        </w:tc>
      </w:tr>
      <w:tr w:rsidR="005A78DC" w:rsidRPr="00E53457" w:rsidTr="00E53457">
        <w:trPr>
          <w:trHeight w:val="256"/>
        </w:trPr>
        <w:tc>
          <w:tcPr>
            <w:tcW w:w="6370" w:type="dxa"/>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Территории, прилегающие к центру населенного пункта</w:t>
            </w:r>
          </w:p>
        </w:tc>
        <w:tc>
          <w:tcPr>
            <w:tcW w:w="2638" w:type="dxa"/>
            <w:vAlign w:val="center"/>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0,8</w:t>
            </w:r>
          </w:p>
        </w:tc>
      </w:tr>
      <w:tr w:rsidR="005A78DC" w:rsidRPr="00E53457" w:rsidTr="00E53457">
        <w:trPr>
          <w:trHeight w:val="513"/>
        </w:trPr>
        <w:tc>
          <w:tcPr>
            <w:tcW w:w="6370" w:type="dxa"/>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Окраина населенного пункта, иные территории, находящиеся вне границ населенного пункта</w:t>
            </w:r>
          </w:p>
        </w:tc>
        <w:tc>
          <w:tcPr>
            <w:tcW w:w="2638" w:type="dxa"/>
            <w:vAlign w:val="center"/>
          </w:tcPr>
          <w:p w:rsidR="005A78DC" w:rsidRPr="00E53457" w:rsidRDefault="005A78DC" w:rsidP="00E53457">
            <w:pPr>
              <w:pStyle w:val="a6"/>
              <w:suppressAutoHyphens/>
              <w:spacing w:before="0" w:beforeAutospacing="0" w:after="0" w:afterAutospacing="0" w:line="360" w:lineRule="auto"/>
              <w:rPr>
                <w:sz w:val="20"/>
                <w:szCs w:val="20"/>
              </w:rPr>
            </w:pPr>
            <w:r w:rsidRPr="00E53457">
              <w:rPr>
                <w:sz w:val="20"/>
                <w:szCs w:val="20"/>
              </w:rPr>
              <w:t>0,6</w:t>
            </w:r>
          </w:p>
        </w:tc>
      </w:tr>
    </w:tbl>
    <w:p w:rsidR="005A78DC" w:rsidRPr="00E53457" w:rsidRDefault="005A78DC" w:rsidP="00E53457">
      <w:pPr>
        <w:pStyle w:val="a6"/>
        <w:suppressAutoHyphens/>
        <w:spacing w:before="0" w:beforeAutospacing="0" w:after="0" w:afterAutospacing="0" w:line="360" w:lineRule="auto"/>
        <w:ind w:firstLine="709"/>
        <w:jc w:val="both"/>
        <w:rPr>
          <w:sz w:val="28"/>
          <w:szCs w:val="28"/>
        </w:rPr>
      </w:pPr>
    </w:p>
    <w:p w:rsidR="005A78DC" w:rsidRPr="00E53457" w:rsidRDefault="005A78DC"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Корректирующий коэффициент К3 – это коэффициент-дефлятор, соответствующий индексу изменения потребительских цен на товары (работы, услуги) в Российской Федерации. Коэффициент-дефлятор публикуется в порядке, установленном Правительством Российской Федерации. </w:t>
      </w:r>
    </w:p>
    <w:p w:rsidR="005A78DC" w:rsidRPr="00E53457" w:rsidRDefault="005A78DC" w:rsidP="00E53457">
      <w:pPr>
        <w:suppressAutoHyphens/>
        <w:spacing w:line="360" w:lineRule="auto"/>
        <w:ind w:firstLine="709"/>
        <w:jc w:val="both"/>
        <w:rPr>
          <w:sz w:val="28"/>
          <w:szCs w:val="28"/>
        </w:rPr>
      </w:pPr>
      <w:r w:rsidRPr="00E53457">
        <w:rPr>
          <w:sz w:val="28"/>
          <w:szCs w:val="28"/>
        </w:rPr>
        <w:t>В 2004 и 2005 году К3 был равен 1, в 2006 году его значение было установлено на уровне 1,132.</w:t>
      </w:r>
    </w:p>
    <w:p w:rsidR="005A78DC" w:rsidRPr="00E53457" w:rsidRDefault="005A78DC" w:rsidP="00E53457">
      <w:pPr>
        <w:pStyle w:val="aji5m00"/>
        <w:suppressAutoHyphens/>
        <w:spacing w:line="360" w:lineRule="auto"/>
        <w:ind w:firstLine="709"/>
        <w:rPr>
          <w:sz w:val="28"/>
          <w:szCs w:val="28"/>
        </w:rPr>
      </w:pPr>
      <w:r w:rsidRPr="00E53457">
        <w:rPr>
          <w:sz w:val="28"/>
          <w:szCs w:val="28"/>
        </w:rPr>
        <w:t xml:space="preserve">Налоговым периодом по единому налогу признается квартал. Ставка единого налога устанавливается в размере 15 процентов величины вмененного дохода. </w:t>
      </w:r>
    </w:p>
    <w:p w:rsidR="001754B7" w:rsidRPr="00E53457" w:rsidRDefault="001754B7" w:rsidP="00E53457">
      <w:pPr>
        <w:pStyle w:val="aji5m00"/>
        <w:suppressAutoHyphens/>
        <w:spacing w:line="360" w:lineRule="auto"/>
        <w:ind w:firstLine="709"/>
        <w:rPr>
          <w:sz w:val="28"/>
          <w:szCs w:val="28"/>
        </w:rPr>
      </w:pPr>
      <w:r w:rsidRPr="00E53457">
        <w:rPr>
          <w:sz w:val="28"/>
          <w:szCs w:val="28"/>
        </w:rPr>
        <w:t>Пример расчета ЕНВД приведен в таблице 2.3:</w:t>
      </w:r>
    </w:p>
    <w:p w:rsidR="00E53457" w:rsidRDefault="00E53457" w:rsidP="00E53457">
      <w:pPr>
        <w:pStyle w:val="aji5m00"/>
        <w:suppressAutoHyphens/>
        <w:spacing w:line="360" w:lineRule="auto"/>
        <w:ind w:firstLine="709"/>
        <w:rPr>
          <w:sz w:val="28"/>
          <w:szCs w:val="28"/>
        </w:rPr>
      </w:pPr>
    </w:p>
    <w:p w:rsidR="001754B7" w:rsidRPr="00E53457" w:rsidRDefault="001754B7" w:rsidP="00E53457">
      <w:pPr>
        <w:pStyle w:val="aji5m00"/>
        <w:suppressAutoHyphens/>
        <w:spacing w:line="360" w:lineRule="auto"/>
        <w:ind w:firstLine="709"/>
        <w:rPr>
          <w:sz w:val="28"/>
          <w:szCs w:val="28"/>
        </w:rPr>
      </w:pPr>
      <w:r w:rsidRPr="00E53457">
        <w:rPr>
          <w:sz w:val="28"/>
          <w:szCs w:val="28"/>
        </w:rPr>
        <w:t>Таблица 2.3</w:t>
      </w:r>
    </w:p>
    <w:p w:rsidR="001754B7" w:rsidRPr="00E53457" w:rsidRDefault="001754B7" w:rsidP="00E53457">
      <w:pPr>
        <w:pStyle w:val="aji5m00"/>
        <w:suppressAutoHyphens/>
        <w:spacing w:line="360" w:lineRule="auto"/>
        <w:ind w:firstLine="709"/>
        <w:rPr>
          <w:sz w:val="28"/>
          <w:szCs w:val="28"/>
        </w:rPr>
      </w:pPr>
      <w:r w:rsidRPr="00E53457">
        <w:rPr>
          <w:sz w:val="28"/>
          <w:szCs w:val="28"/>
        </w:rPr>
        <w:t xml:space="preserve">Расчет значения единого налога на </w:t>
      </w:r>
    </w:p>
    <w:p w:rsidR="001754B7" w:rsidRPr="00E53457" w:rsidRDefault="001754B7" w:rsidP="00E53457">
      <w:pPr>
        <w:pStyle w:val="aji5m00"/>
        <w:suppressAutoHyphens/>
        <w:spacing w:line="360" w:lineRule="auto"/>
        <w:ind w:firstLine="709"/>
        <w:rPr>
          <w:sz w:val="28"/>
          <w:szCs w:val="28"/>
        </w:rPr>
      </w:pPr>
      <w:r w:rsidRPr="00E53457">
        <w:rPr>
          <w:sz w:val="28"/>
          <w:szCs w:val="28"/>
        </w:rPr>
        <w:t>вмененный доход магазина «Евростиль» в 2004-2006 годах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2393"/>
        <w:gridCol w:w="2393"/>
        <w:gridCol w:w="1578"/>
      </w:tblGrid>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Значения</w:t>
            </w:r>
          </w:p>
        </w:tc>
        <w:tc>
          <w:tcPr>
            <w:tcW w:w="2393"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2004 год</w:t>
            </w:r>
          </w:p>
        </w:tc>
        <w:tc>
          <w:tcPr>
            <w:tcW w:w="2393"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2005 год</w:t>
            </w:r>
          </w:p>
        </w:tc>
        <w:tc>
          <w:tcPr>
            <w:tcW w:w="1578"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 xml:space="preserve">2006 год </w:t>
            </w:r>
          </w:p>
          <w:p w:rsidR="001754B7" w:rsidRPr="00E53457" w:rsidRDefault="001754B7" w:rsidP="00E53457">
            <w:pPr>
              <w:pStyle w:val="aji5m00"/>
              <w:suppressAutoHyphens/>
              <w:spacing w:line="360" w:lineRule="auto"/>
              <w:ind w:firstLine="0"/>
              <w:jc w:val="left"/>
              <w:rPr>
                <w:sz w:val="20"/>
                <w:szCs w:val="20"/>
              </w:rPr>
            </w:pPr>
            <w:r w:rsidRPr="00E53457">
              <w:rPr>
                <w:sz w:val="20"/>
                <w:szCs w:val="20"/>
              </w:rPr>
              <w:t>(1-е полугодие)</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Базовая доходность в месяц</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1200</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1800</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1800</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Площадь торгового зала, кв. м.</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29</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29</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29</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Число расчетных месяцев</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12</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12</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6</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К1</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Квд</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0,7</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0,7</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0,7</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Кмд</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0,8</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0,8</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0,8</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К3</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1,132</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Величина вмененного дохода, руб.</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233856</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350784</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198544</w:t>
            </w:r>
          </w:p>
        </w:tc>
      </w:tr>
      <w:tr w:rsidR="001754B7" w:rsidRPr="00E53457" w:rsidTr="00E53457">
        <w:trPr>
          <w:jc w:val="center"/>
        </w:trPr>
        <w:tc>
          <w:tcPr>
            <w:tcW w:w="2391" w:type="dxa"/>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ИТОГО ЕНВД, руб.</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35078</w:t>
            </w:r>
          </w:p>
        </w:tc>
        <w:tc>
          <w:tcPr>
            <w:tcW w:w="2393"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52618</w:t>
            </w:r>
          </w:p>
        </w:tc>
        <w:tc>
          <w:tcPr>
            <w:tcW w:w="1578" w:type="dxa"/>
            <w:vAlign w:val="center"/>
          </w:tcPr>
          <w:p w:rsidR="001754B7" w:rsidRPr="00E53457" w:rsidRDefault="001754B7" w:rsidP="00E53457">
            <w:pPr>
              <w:pStyle w:val="aji5m00"/>
              <w:suppressAutoHyphens/>
              <w:spacing w:line="360" w:lineRule="auto"/>
              <w:ind w:firstLine="0"/>
              <w:jc w:val="left"/>
              <w:rPr>
                <w:sz w:val="20"/>
                <w:szCs w:val="20"/>
              </w:rPr>
            </w:pPr>
            <w:r w:rsidRPr="00E53457">
              <w:rPr>
                <w:sz w:val="20"/>
                <w:szCs w:val="20"/>
              </w:rPr>
              <w:t>29782</w:t>
            </w:r>
          </w:p>
        </w:tc>
      </w:tr>
    </w:tbl>
    <w:p w:rsidR="001754B7" w:rsidRPr="00E53457" w:rsidRDefault="001754B7" w:rsidP="00E53457">
      <w:pPr>
        <w:pStyle w:val="aji5m00"/>
        <w:suppressAutoHyphens/>
        <w:spacing w:line="360" w:lineRule="auto"/>
        <w:ind w:firstLine="709"/>
        <w:rPr>
          <w:sz w:val="28"/>
          <w:szCs w:val="28"/>
        </w:rPr>
      </w:pPr>
    </w:p>
    <w:p w:rsidR="001754B7" w:rsidRPr="00E53457" w:rsidRDefault="001754B7" w:rsidP="00E53457">
      <w:pPr>
        <w:pStyle w:val="aji5m00"/>
        <w:suppressAutoHyphens/>
        <w:spacing w:line="360" w:lineRule="auto"/>
        <w:ind w:firstLine="709"/>
        <w:rPr>
          <w:sz w:val="28"/>
          <w:szCs w:val="28"/>
        </w:rPr>
      </w:pPr>
      <w:r w:rsidRPr="00E53457">
        <w:rPr>
          <w:sz w:val="28"/>
          <w:szCs w:val="28"/>
        </w:rPr>
        <w:t>Величина ЕНВД уменьшается на сумму страховых взносов, но не более 50% от начисленной суммы налога.</w:t>
      </w:r>
    </w:p>
    <w:p w:rsidR="001754B7" w:rsidRPr="00E53457" w:rsidRDefault="001754B7" w:rsidP="00E53457">
      <w:pPr>
        <w:widowControl w:val="0"/>
        <w:suppressAutoHyphens/>
        <w:autoSpaceDE w:val="0"/>
        <w:autoSpaceDN w:val="0"/>
        <w:adjustRightInd w:val="0"/>
        <w:spacing w:line="360" w:lineRule="auto"/>
        <w:ind w:firstLine="709"/>
        <w:jc w:val="both"/>
        <w:rPr>
          <w:sz w:val="28"/>
          <w:szCs w:val="28"/>
        </w:rPr>
      </w:pPr>
      <w:r w:rsidRPr="00E53457">
        <w:rPr>
          <w:sz w:val="28"/>
          <w:szCs w:val="28"/>
        </w:rPr>
        <w:t>Индивидуальные предприниматели, имеющие работников, уплачивают взносы в ПФР в виде фиксированного платежа, а также стра</w:t>
      </w:r>
      <w:r w:rsidR="000F1698">
        <w:rPr>
          <w:sz w:val="28"/>
          <w:szCs w:val="28"/>
        </w:rPr>
        <w:t>ховые взносы за работников.</w:t>
      </w:r>
    </w:p>
    <w:p w:rsidR="001754B7" w:rsidRPr="00E53457" w:rsidRDefault="001754B7" w:rsidP="00E53457">
      <w:pPr>
        <w:suppressAutoHyphens/>
        <w:spacing w:line="360" w:lineRule="auto"/>
        <w:ind w:firstLine="709"/>
        <w:jc w:val="both"/>
        <w:rPr>
          <w:sz w:val="28"/>
          <w:szCs w:val="28"/>
        </w:rPr>
      </w:pPr>
      <w:r w:rsidRPr="00E53457">
        <w:rPr>
          <w:sz w:val="28"/>
          <w:szCs w:val="28"/>
        </w:rPr>
        <w:t>Плательщики ЕНВД – индивидуальные предприниматели суммы страховых взносов в бюджет Пенсионного фонда России уплачивают в виде фиксированного платежа. Размер фиксированного платежа в расчете на месяц устанавливается исходя из стоимости страхового года, ежегодно утверждаемой Правительством РФ.</w:t>
      </w:r>
    </w:p>
    <w:p w:rsidR="001754B7" w:rsidRPr="00E53457" w:rsidRDefault="001754B7" w:rsidP="00E53457">
      <w:pPr>
        <w:widowControl w:val="0"/>
        <w:suppressAutoHyphens/>
        <w:autoSpaceDE w:val="0"/>
        <w:autoSpaceDN w:val="0"/>
        <w:adjustRightInd w:val="0"/>
        <w:spacing w:line="360" w:lineRule="auto"/>
        <w:ind w:firstLine="709"/>
        <w:jc w:val="both"/>
        <w:rPr>
          <w:sz w:val="28"/>
          <w:szCs w:val="28"/>
        </w:rPr>
      </w:pPr>
      <w:r w:rsidRPr="00E53457">
        <w:rPr>
          <w:sz w:val="28"/>
          <w:szCs w:val="28"/>
        </w:rPr>
        <w:t>Минимальный размер фиксированного платежа на финансирование страховой и накопительной частей трудовой пенсии установлена в размере 150 руб. в месяц и является обязательным для уплаты. При этом 100 руб. направляется на финансирование страховой части трудовой пенсии, 50 руб. – на финансирование накопительной части трудовой пенсии.</w:t>
      </w:r>
    </w:p>
    <w:p w:rsidR="001754B7" w:rsidRPr="00E53457" w:rsidRDefault="001754B7" w:rsidP="00E53457">
      <w:pPr>
        <w:widowControl w:val="0"/>
        <w:tabs>
          <w:tab w:val="left" w:pos="336"/>
        </w:tabs>
        <w:suppressAutoHyphens/>
        <w:autoSpaceDE w:val="0"/>
        <w:autoSpaceDN w:val="0"/>
        <w:adjustRightInd w:val="0"/>
        <w:spacing w:line="360" w:lineRule="auto"/>
        <w:ind w:firstLine="709"/>
        <w:jc w:val="both"/>
        <w:rPr>
          <w:sz w:val="28"/>
          <w:szCs w:val="28"/>
        </w:rPr>
      </w:pPr>
      <w:r w:rsidRPr="00E53457">
        <w:rPr>
          <w:sz w:val="28"/>
          <w:szCs w:val="28"/>
        </w:rPr>
        <w:t>Страхователи ежемесячно производят исчисление суммы авансовых платежей по страховым взносам</w:t>
      </w:r>
      <w:r w:rsidR="00427A53" w:rsidRPr="00E53457">
        <w:rPr>
          <w:sz w:val="28"/>
          <w:szCs w:val="28"/>
        </w:rPr>
        <w:t>,</w:t>
      </w:r>
      <w:r w:rsidRPr="00E53457">
        <w:rPr>
          <w:sz w:val="28"/>
          <w:szCs w:val="28"/>
        </w:rPr>
        <w:t xml:space="preserve"> исходя из базы для начисления страховых взносов, исчисленной с начала расчетного периода, и тарифа страхового взноса.</w:t>
      </w:r>
    </w:p>
    <w:p w:rsidR="001754B7" w:rsidRPr="00E53457" w:rsidRDefault="001754B7" w:rsidP="00E53457">
      <w:pPr>
        <w:widowControl w:val="0"/>
        <w:suppressAutoHyphens/>
        <w:autoSpaceDE w:val="0"/>
        <w:autoSpaceDN w:val="0"/>
        <w:adjustRightInd w:val="0"/>
        <w:spacing w:line="360" w:lineRule="auto"/>
        <w:ind w:firstLine="709"/>
        <w:jc w:val="both"/>
        <w:rPr>
          <w:sz w:val="28"/>
          <w:szCs w:val="28"/>
        </w:rPr>
      </w:pPr>
      <w:r w:rsidRPr="00E53457">
        <w:rPr>
          <w:sz w:val="28"/>
          <w:szCs w:val="28"/>
        </w:rPr>
        <w:t>Сумма авансового платежа по страховым взносам, подлежащая уплате за текущий месяц, определятся с учетом ранее уплаченных сумм авансового платежа. Тариф страхового взноса представляет собой размер страхового взноса на единицу измерения базы для начисления страховых взносов.</w:t>
      </w:r>
    </w:p>
    <w:p w:rsidR="001754B7" w:rsidRPr="00E53457" w:rsidRDefault="001754B7" w:rsidP="00E53457">
      <w:pPr>
        <w:widowControl w:val="0"/>
        <w:tabs>
          <w:tab w:val="left" w:pos="288"/>
        </w:tabs>
        <w:suppressAutoHyphens/>
        <w:autoSpaceDE w:val="0"/>
        <w:autoSpaceDN w:val="0"/>
        <w:adjustRightInd w:val="0"/>
        <w:spacing w:line="360" w:lineRule="auto"/>
        <w:ind w:firstLine="709"/>
        <w:jc w:val="both"/>
        <w:rPr>
          <w:sz w:val="28"/>
          <w:szCs w:val="28"/>
        </w:rPr>
      </w:pPr>
      <w:r w:rsidRPr="00E53457">
        <w:rPr>
          <w:sz w:val="28"/>
          <w:szCs w:val="28"/>
        </w:rPr>
        <w:t xml:space="preserve">В </w:t>
      </w:r>
      <w:smartTag w:uri="urn:schemas-microsoft-com:office:smarttags" w:element="metricconverter">
        <w:smartTagPr>
          <w:attr w:name="ProductID" w:val="2004 г"/>
        </w:smartTagPr>
        <w:r w:rsidRPr="00E53457">
          <w:rPr>
            <w:sz w:val="28"/>
            <w:szCs w:val="28"/>
          </w:rPr>
          <w:t>2004 г</w:t>
        </w:r>
      </w:smartTag>
      <w:r w:rsidRPr="00E53457">
        <w:rPr>
          <w:sz w:val="28"/>
          <w:szCs w:val="28"/>
        </w:rPr>
        <w:t>. исчисление страховых взносов производилось по ставкам, указанным в таблице 2.</w:t>
      </w:r>
      <w:r w:rsidR="002B53B6" w:rsidRPr="00E53457">
        <w:rPr>
          <w:sz w:val="28"/>
          <w:szCs w:val="28"/>
        </w:rPr>
        <w:t>4</w:t>
      </w:r>
      <w:r w:rsidRPr="00E53457">
        <w:rPr>
          <w:sz w:val="28"/>
          <w:szCs w:val="28"/>
        </w:rPr>
        <w:t>.</w:t>
      </w:r>
    </w:p>
    <w:p w:rsidR="00BE6462" w:rsidRPr="00E53457" w:rsidRDefault="00BE6462" w:rsidP="00E53457">
      <w:pPr>
        <w:widowControl w:val="0"/>
        <w:tabs>
          <w:tab w:val="left" w:pos="288"/>
        </w:tabs>
        <w:suppressAutoHyphens/>
        <w:autoSpaceDE w:val="0"/>
        <w:autoSpaceDN w:val="0"/>
        <w:adjustRightInd w:val="0"/>
        <w:spacing w:line="360" w:lineRule="auto"/>
        <w:ind w:firstLine="709"/>
        <w:jc w:val="both"/>
        <w:rPr>
          <w:sz w:val="28"/>
          <w:szCs w:val="28"/>
        </w:rPr>
      </w:pPr>
    </w:p>
    <w:p w:rsidR="001754B7" w:rsidRPr="00E53457" w:rsidRDefault="001754B7" w:rsidP="00E53457">
      <w:pPr>
        <w:widowControl w:val="0"/>
        <w:tabs>
          <w:tab w:val="left" w:pos="288"/>
        </w:tabs>
        <w:suppressAutoHyphens/>
        <w:autoSpaceDE w:val="0"/>
        <w:autoSpaceDN w:val="0"/>
        <w:adjustRightInd w:val="0"/>
        <w:spacing w:line="360" w:lineRule="auto"/>
        <w:ind w:firstLine="709"/>
        <w:jc w:val="both"/>
        <w:rPr>
          <w:sz w:val="28"/>
          <w:szCs w:val="28"/>
        </w:rPr>
      </w:pPr>
      <w:r w:rsidRPr="00E53457">
        <w:rPr>
          <w:sz w:val="28"/>
          <w:szCs w:val="28"/>
        </w:rPr>
        <w:t>Таблица 2.</w:t>
      </w:r>
      <w:r w:rsidR="002B53B6" w:rsidRPr="00E53457">
        <w:rPr>
          <w:sz w:val="28"/>
          <w:szCs w:val="28"/>
        </w:rPr>
        <w:t>4</w:t>
      </w:r>
      <w:r w:rsidR="00E53457">
        <w:rPr>
          <w:sz w:val="28"/>
          <w:szCs w:val="28"/>
        </w:rPr>
        <w:t xml:space="preserve"> </w:t>
      </w:r>
      <w:r w:rsidRPr="00E53457">
        <w:rPr>
          <w:sz w:val="28"/>
          <w:szCs w:val="28"/>
        </w:rPr>
        <w:t>Исчисление страховых взносов в 2004 году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2"/>
        <w:gridCol w:w="1145"/>
        <w:gridCol w:w="1216"/>
        <w:gridCol w:w="1139"/>
        <w:gridCol w:w="1216"/>
        <w:gridCol w:w="1128"/>
        <w:gridCol w:w="961"/>
      </w:tblGrid>
      <w:tr w:rsidR="001754B7" w:rsidRPr="00E53457" w:rsidTr="000F1698">
        <w:trPr>
          <w:trHeight w:val="221"/>
        </w:trPr>
        <w:tc>
          <w:tcPr>
            <w:tcW w:w="1482" w:type="dxa"/>
            <w:vMerge w:val="restart"/>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База для начисления страховых взносов на 1 работника нарастающим итогом</w:t>
            </w:r>
          </w:p>
        </w:tc>
        <w:tc>
          <w:tcPr>
            <w:tcW w:w="2361" w:type="dxa"/>
            <w:gridSpan w:val="2"/>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 xml:space="preserve">Для мужчин </w:t>
            </w:r>
            <w:smartTag w:uri="urn:schemas-microsoft-com:office:smarttags" w:element="metricconverter">
              <w:smartTagPr>
                <w:attr w:name="ProductID" w:val="1952 г"/>
              </w:smartTagPr>
              <w:r w:rsidRPr="00E53457">
                <w:rPr>
                  <w:sz w:val="20"/>
                  <w:szCs w:val="20"/>
                </w:rPr>
                <w:t>1952 г</w:t>
              </w:r>
            </w:smartTag>
            <w:r w:rsidRPr="00E53457">
              <w:rPr>
                <w:sz w:val="20"/>
                <w:szCs w:val="20"/>
              </w:rPr>
              <w:t xml:space="preserve">.р. и старше и женщин </w:t>
            </w:r>
            <w:smartTag w:uri="urn:schemas-microsoft-com:office:smarttags" w:element="metricconverter">
              <w:smartTagPr>
                <w:attr w:name="ProductID" w:val="1956 г"/>
              </w:smartTagPr>
              <w:r w:rsidRPr="00E53457">
                <w:rPr>
                  <w:sz w:val="20"/>
                  <w:szCs w:val="20"/>
                </w:rPr>
                <w:t>1956 г</w:t>
              </w:r>
            </w:smartTag>
            <w:r w:rsidRPr="00E53457">
              <w:rPr>
                <w:sz w:val="20"/>
                <w:szCs w:val="20"/>
              </w:rPr>
              <w:t>.р. и старше</w:t>
            </w:r>
          </w:p>
        </w:tc>
        <w:tc>
          <w:tcPr>
            <w:tcW w:w="2355" w:type="dxa"/>
            <w:gridSpan w:val="2"/>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 xml:space="preserve">Для мужчин с 1953 по </w:t>
            </w:r>
            <w:smartTag w:uri="urn:schemas-microsoft-com:office:smarttags" w:element="metricconverter">
              <w:smartTagPr>
                <w:attr w:name="ProductID" w:val="1966 г"/>
              </w:smartTagPr>
              <w:r w:rsidRPr="00E53457">
                <w:rPr>
                  <w:sz w:val="20"/>
                  <w:szCs w:val="20"/>
                </w:rPr>
                <w:t>1966 г</w:t>
              </w:r>
            </w:smartTag>
            <w:r w:rsidRPr="00E53457">
              <w:rPr>
                <w:sz w:val="20"/>
                <w:szCs w:val="20"/>
              </w:rPr>
              <w:t xml:space="preserve">.р. и женщин с 1957 по </w:t>
            </w:r>
            <w:smartTag w:uri="urn:schemas-microsoft-com:office:smarttags" w:element="metricconverter">
              <w:smartTagPr>
                <w:attr w:name="ProductID" w:val="1966 г"/>
              </w:smartTagPr>
              <w:r w:rsidRPr="00E53457">
                <w:rPr>
                  <w:sz w:val="20"/>
                  <w:szCs w:val="20"/>
                </w:rPr>
                <w:t>1966 г</w:t>
              </w:r>
            </w:smartTag>
            <w:r w:rsidRPr="00E53457">
              <w:rPr>
                <w:sz w:val="20"/>
                <w:szCs w:val="20"/>
              </w:rPr>
              <w:t>.р.</w:t>
            </w:r>
          </w:p>
        </w:tc>
        <w:tc>
          <w:tcPr>
            <w:tcW w:w="2057" w:type="dxa"/>
            <w:gridSpan w:val="2"/>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 xml:space="preserve">Для лиц </w:t>
            </w:r>
            <w:smartTag w:uri="urn:schemas-microsoft-com:office:smarttags" w:element="metricconverter">
              <w:smartTagPr>
                <w:attr w:name="ProductID" w:val="1967 г"/>
              </w:smartTagPr>
              <w:r w:rsidRPr="00E53457">
                <w:rPr>
                  <w:sz w:val="20"/>
                  <w:szCs w:val="20"/>
                </w:rPr>
                <w:t>1967 г</w:t>
              </w:r>
            </w:smartTag>
            <w:r w:rsidRPr="00E53457">
              <w:rPr>
                <w:sz w:val="20"/>
                <w:szCs w:val="20"/>
              </w:rPr>
              <w:t>.р. и моложе</w:t>
            </w:r>
          </w:p>
        </w:tc>
      </w:tr>
      <w:tr w:rsidR="001754B7" w:rsidRPr="00E53457" w:rsidTr="000F1698">
        <w:trPr>
          <w:trHeight w:val="221"/>
        </w:trPr>
        <w:tc>
          <w:tcPr>
            <w:tcW w:w="1482" w:type="dxa"/>
            <w:vMerge/>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p>
        </w:tc>
        <w:tc>
          <w:tcPr>
            <w:tcW w:w="114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страх. часть</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накопит. часть</w:t>
            </w:r>
          </w:p>
        </w:tc>
        <w:tc>
          <w:tcPr>
            <w:tcW w:w="1139"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страх. часть</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накопит. часть</w:t>
            </w:r>
          </w:p>
        </w:tc>
        <w:tc>
          <w:tcPr>
            <w:tcW w:w="11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страх. часть</w:t>
            </w:r>
          </w:p>
        </w:tc>
        <w:tc>
          <w:tcPr>
            <w:tcW w:w="9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накопит. часть</w:t>
            </w:r>
          </w:p>
        </w:tc>
      </w:tr>
      <w:tr w:rsidR="001754B7" w:rsidRPr="00E53457" w:rsidTr="000F1698">
        <w:trPr>
          <w:trHeight w:val="62"/>
        </w:trPr>
        <w:tc>
          <w:tcPr>
            <w:tcW w:w="1482"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До 100000 руб.</w:t>
            </w:r>
          </w:p>
        </w:tc>
        <w:tc>
          <w:tcPr>
            <w:tcW w:w="114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14%</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139"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12%</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w:t>
            </w:r>
          </w:p>
        </w:tc>
        <w:tc>
          <w:tcPr>
            <w:tcW w:w="11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10%</w:t>
            </w:r>
          </w:p>
        </w:tc>
        <w:tc>
          <w:tcPr>
            <w:tcW w:w="9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4%</w:t>
            </w:r>
          </w:p>
        </w:tc>
      </w:tr>
      <w:tr w:rsidR="001754B7" w:rsidRPr="00E53457" w:rsidTr="000F1698">
        <w:trPr>
          <w:trHeight w:val="439"/>
        </w:trPr>
        <w:tc>
          <w:tcPr>
            <w:tcW w:w="1482"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От 100001 до 300000 руб.</w:t>
            </w:r>
          </w:p>
        </w:tc>
        <w:tc>
          <w:tcPr>
            <w:tcW w:w="114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14000 руб. + 7,9% суммы свыше 100000 руб.</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139"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12000 руб. + 6,8% суммы свыше 100000 руб.</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2000 руб. + 1,1% суммы свыше 100000 руб.</w:t>
            </w:r>
          </w:p>
        </w:tc>
        <w:tc>
          <w:tcPr>
            <w:tcW w:w="11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10000 руб. + 5,64% суммы свыше 100000 руб.</w:t>
            </w:r>
          </w:p>
        </w:tc>
        <w:tc>
          <w:tcPr>
            <w:tcW w:w="9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4000 руб. + 2,26% суммы свыше 100000 руб.</w:t>
            </w:r>
          </w:p>
        </w:tc>
      </w:tr>
      <w:tr w:rsidR="001754B7" w:rsidRPr="00E53457" w:rsidTr="000F1698">
        <w:trPr>
          <w:trHeight w:val="124"/>
        </w:trPr>
        <w:tc>
          <w:tcPr>
            <w:tcW w:w="1482"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От 300001 до 600000 руб.</w:t>
            </w:r>
          </w:p>
        </w:tc>
        <w:tc>
          <w:tcPr>
            <w:tcW w:w="114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29800 руб. + 3,95% суммы свыше 300000 руб.</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139"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25600 руб. + 3,39% суммы свыше 300000 руб.</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4200 руб. + 0,56% суммы свыше 300000 руб.</w:t>
            </w:r>
          </w:p>
        </w:tc>
        <w:tc>
          <w:tcPr>
            <w:tcW w:w="11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21280 руб. + 2,82% суммы свыше 300000 руб.</w:t>
            </w:r>
          </w:p>
        </w:tc>
        <w:tc>
          <w:tcPr>
            <w:tcW w:w="9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8520 руб. + 1,13% суммы свыше 300000 руб.</w:t>
            </w:r>
          </w:p>
        </w:tc>
      </w:tr>
      <w:tr w:rsidR="001754B7" w:rsidRPr="00E53457" w:rsidTr="000F1698">
        <w:trPr>
          <w:trHeight w:val="128"/>
        </w:trPr>
        <w:tc>
          <w:tcPr>
            <w:tcW w:w="1482"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Свыше 600000 руб.</w:t>
            </w:r>
          </w:p>
        </w:tc>
        <w:tc>
          <w:tcPr>
            <w:tcW w:w="114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41650 руб.</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139"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35770 руб.</w:t>
            </w:r>
          </w:p>
        </w:tc>
        <w:tc>
          <w:tcPr>
            <w:tcW w:w="121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5880 руб.</w:t>
            </w:r>
          </w:p>
        </w:tc>
        <w:tc>
          <w:tcPr>
            <w:tcW w:w="11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29740 руб.</w:t>
            </w:r>
          </w:p>
        </w:tc>
        <w:tc>
          <w:tcPr>
            <w:tcW w:w="928"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11910 руб.</w:t>
            </w:r>
          </w:p>
        </w:tc>
      </w:tr>
    </w:tbl>
    <w:p w:rsidR="001754B7" w:rsidRPr="00E53457" w:rsidRDefault="001754B7" w:rsidP="00E53457">
      <w:pPr>
        <w:widowControl w:val="0"/>
        <w:tabs>
          <w:tab w:val="left" w:pos="288"/>
        </w:tabs>
        <w:suppressAutoHyphens/>
        <w:autoSpaceDE w:val="0"/>
        <w:autoSpaceDN w:val="0"/>
        <w:adjustRightInd w:val="0"/>
        <w:spacing w:line="360" w:lineRule="auto"/>
        <w:ind w:firstLine="709"/>
        <w:jc w:val="both"/>
        <w:rPr>
          <w:sz w:val="28"/>
          <w:szCs w:val="28"/>
        </w:rPr>
      </w:pPr>
    </w:p>
    <w:p w:rsidR="001754B7" w:rsidRPr="00E53457" w:rsidRDefault="001754B7" w:rsidP="00E53457">
      <w:pPr>
        <w:widowControl w:val="0"/>
        <w:suppressAutoHyphens/>
        <w:autoSpaceDE w:val="0"/>
        <w:autoSpaceDN w:val="0"/>
        <w:adjustRightInd w:val="0"/>
        <w:spacing w:line="360" w:lineRule="auto"/>
        <w:ind w:firstLine="709"/>
        <w:jc w:val="both"/>
        <w:rPr>
          <w:sz w:val="28"/>
          <w:szCs w:val="28"/>
        </w:rPr>
      </w:pPr>
      <w:r w:rsidRPr="00E53457">
        <w:rPr>
          <w:sz w:val="28"/>
          <w:szCs w:val="28"/>
        </w:rPr>
        <w:t>В 2005-2006 гг. исчисление страховых взносов производилось по ставкам, указанным в таблице 2.</w:t>
      </w:r>
      <w:r w:rsidR="002B53B6" w:rsidRPr="00E53457">
        <w:rPr>
          <w:sz w:val="28"/>
          <w:szCs w:val="28"/>
        </w:rPr>
        <w:t>5</w:t>
      </w:r>
      <w:r w:rsidRPr="00E53457">
        <w:rPr>
          <w:sz w:val="28"/>
          <w:szCs w:val="28"/>
        </w:rPr>
        <w:t>.</w:t>
      </w:r>
    </w:p>
    <w:p w:rsidR="00CD4F3A" w:rsidRPr="00E53457" w:rsidRDefault="00CD4F3A" w:rsidP="00E53457">
      <w:pPr>
        <w:widowControl w:val="0"/>
        <w:suppressAutoHyphens/>
        <w:autoSpaceDE w:val="0"/>
        <w:autoSpaceDN w:val="0"/>
        <w:adjustRightInd w:val="0"/>
        <w:spacing w:line="360" w:lineRule="auto"/>
        <w:ind w:firstLine="709"/>
        <w:jc w:val="both"/>
        <w:rPr>
          <w:sz w:val="28"/>
          <w:szCs w:val="28"/>
        </w:rPr>
      </w:pPr>
    </w:p>
    <w:p w:rsidR="001754B7" w:rsidRPr="00E53457" w:rsidRDefault="001754B7" w:rsidP="00E53457">
      <w:pPr>
        <w:widowControl w:val="0"/>
        <w:suppressAutoHyphens/>
        <w:autoSpaceDE w:val="0"/>
        <w:autoSpaceDN w:val="0"/>
        <w:adjustRightInd w:val="0"/>
        <w:spacing w:line="360" w:lineRule="auto"/>
        <w:ind w:firstLine="709"/>
        <w:jc w:val="both"/>
        <w:rPr>
          <w:sz w:val="28"/>
          <w:szCs w:val="28"/>
        </w:rPr>
      </w:pPr>
      <w:r w:rsidRPr="00E53457">
        <w:rPr>
          <w:sz w:val="28"/>
          <w:szCs w:val="28"/>
        </w:rPr>
        <w:t>Таблица 2.</w:t>
      </w:r>
      <w:r w:rsidR="002B53B6" w:rsidRPr="00E53457">
        <w:rPr>
          <w:sz w:val="28"/>
          <w:szCs w:val="28"/>
        </w:rPr>
        <w:t>5</w:t>
      </w:r>
    </w:p>
    <w:p w:rsidR="001754B7" w:rsidRPr="00E53457" w:rsidRDefault="001754B7" w:rsidP="00E53457">
      <w:pPr>
        <w:widowControl w:val="0"/>
        <w:suppressAutoHyphens/>
        <w:autoSpaceDE w:val="0"/>
        <w:autoSpaceDN w:val="0"/>
        <w:adjustRightInd w:val="0"/>
        <w:spacing w:line="360" w:lineRule="auto"/>
        <w:ind w:firstLine="709"/>
        <w:jc w:val="both"/>
        <w:rPr>
          <w:sz w:val="28"/>
          <w:szCs w:val="28"/>
        </w:rPr>
      </w:pPr>
      <w:r w:rsidRPr="00E53457">
        <w:rPr>
          <w:sz w:val="28"/>
          <w:szCs w:val="28"/>
        </w:rPr>
        <w:t>Исчисление страховых взносов в 2005-2006 гг.</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365"/>
        <w:gridCol w:w="1580"/>
        <w:gridCol w:w="1966"/>
        <w:gridCol w:w="1728"/>
      </w:tblGrid>
      <w:tr w:rsidR="001754B7" w:rsidRPr="00E53457" w:rsidTr="000F1698">
        <w:trPr>
          <w:trHeight w:val="949"/>
          <w:jc w:val="center"/>
        </w:trPr>
        <w:tc>
          <w:tcPr>
            <w:tcW w:w="1956" w:type="dxa"/>
            <w:vMerge w:val="restart"/>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База для начисления страховых взносов на 1 работника нарастающим итогом</w:t>
            </w:r>
          </w:p>
        </w:tc>
        <w:tc>
          <w:tcPr>
            <w:tcW w:w="2944" w:type="dxa"/>
            <w:gridSpan w:val="2"/>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 xml:space="preserve">Для лиц </w:t>
            </w:r>
            <w:smartTag w:uri="urn:schemas-microsoft-com:office:smarttags" w:element="metricconverter">
              <w:smartTagPr>
                <w:attr w:name="ProductID" w:val="1966 г"/>
              </w:smartTagPr>
              <w:r w:rsidRPr="00E53457">
                <w:rPr>
                  <w:sz w:val="20"/>
                  <w:szCs w:val="20"/>
                </w:rPr>
                <w:t>1966 г</w:t>
              </w:r>
            </w:smartTag>
            <w:r w:rsidRPr="00E53457">
              <w:rPr>
                <w:sz w:val="20"/>
                <w:szCs w:val="20"/>
              </w:rPr>
              <w:t xml:space="preserve">.р. и старше </w:t>
            </w:r>
          </w:p>
        </w:tc>
        <w:tc>
          <w:tcPr>
            <w:tcW w:w="3694" w:type="dxa"/>
            <w:gridSpan w:val="2"/>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 xml:space="preserve">Для лиц </w:t>
            </w:r>
            <w:smartTag w:uri="urn:schemas-microsoft-com:office:smarttags" w:element="metricconverter">
              <w:smartTagPr>
                <w:attr w:name="ProductID" w:val="1967 г"/>
              </w:smartTagPr>
              <w:r w:rsidRPr="00E53457">
                <w:rPr>
                  <w:sz w:val="20"/>
                  <w:szCs w:val="20"/>
                </w:rPr>
                <w:t>1967 г</w:t>
              </w:r>
            </w:smartTag>
            <w:r w:rsidRPr="00E53457">
              <w:rPr>
                <w:sz w:val="20"/>
                <w:szCs w:val="20"/>
              </w:rPr>
              <w:t>.р. и моложе в 2005-2007 гг.</w:t>
            </w:r>
          </w:p>
        </w:tc>
      </w:tr>
      <w:tr w:rsidR="001754B7" w:rsidRPr="00E53457" w:rsidTr="000F1698">
        <w:trPr>
          <w:trHeight w:val="461"/>
          <w:jc w:val="center"/>
        </w:trPr>
        <w:tc>
          <w:tcPr>
            <w:tcW w:w="1956" w:type="dxa"/>
            <w:vMerge/>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p>
        </w:tc>
        <w:tc>
          <w:tcPr>
            <w:tcW w:w="136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страх. часть</w:t>
            </w:r>
          </w:p>
        </w:tc>
        <w:tc>
          <w:tcPr>
            <w:tcW w:w="1580"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накопит. часть</w:t>
            </w:r>
          </w:p>
        </w:tc>
        <w:tc>
          <w:tcPr>
            <w:tcW w:w="196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страх. часть</w:t>
            </w:r>
          </w:p>
        </w:tc>
        <w:tc>
          <w:tcPr>
            <w:tcW w:w="1727"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накопит. часть</w:t>
            </w:r>
          </w:p>
        </w:tc>
      </w:tr>
      <w:tr w:rsidR="001754B7" w:rsidRPr="00E53457" w:rsidTr="000F1698">
        <w:trPr>
          <w:trHeight w:val="251"/>
          <w:jc w:val="center"/>
        </w:trPr>
        <w:tc>
          <w:tcPr>
            <w:tcW w:w="1956"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До 280000 руб.</w:t>
            </w:r>
          </w:p>
        </w:tc>
        <w:tc>
          <w:tcPr>
            <w:tcW w:w="136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14%</w:t>
            </w:r>
          </w:p>
        </w:tc>
        <w:tc>
          <w:tcPr>
            <w:tcW w:w="1580"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96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10%</w:t>
            </w:r>
          </w:p>
        </w:tc>
        <w:tc>
          <w:tcPr>
            <w:tcW w:w="1727"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4%</w:t>
            </w:r>
          </w:p>
        </w:tc>
      </w:tr>
      <w:tr w:rsidR="001754B7" w:rsidRPr="00E53457" w:rsidTr="000F1698">
        <w:trPr>
          <w:trHeight w:val="1084"/>
          <w:jc w:val="center"/>
        </w:trPr>
        <w:tc>
          <w:tcPr>
            <w:tcW w:w="1956"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От 280001 до 600000 руб.</w:t>
            </w:r>
          </w:p>
        </w:tc>
        <w:tc>
          <w:tcPr>
            <w:tcW w:w="136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39200 руб. + 5,5% суммы свыше 280000 руб.</w:t>
            </w:r>
          </w:p>
        </w:tc>
        <w:tc>
          <w:tcPr>
            <w:tcW w:w="1580"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96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28000 руб. + 3,9% суммы свыше 280000 руб.</w:t>
            </w:r>
          </w:p>
        </w:tc>
        <w:tc>
          <w:tcPr>
            <w:tcW w:w="1727"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11200 руб. + 1,6% суммы свыше 280000 руб.</w:t>
            </w:r>
          </w:p>
        </w:tc>
      </w:tr>
      <w:tr w:rsidR="001754B7" w:rsidRPr="00E53457" w:rsidTr="000F1698">
        <w:trPr>
          <w:trHeight w:val="267"/>
          <w:jc w:val="center"/>
        </w:trPr>
        <w:tc>
          <w:tcPr>
            <w:tcW w:w="1956" w:type="dxa"/>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Свыше 600000 руб.</w:t>
            </w:r>
          </w:p>
        </w:tc>
        <w:tc>
          <w:tcPr>
            <w:tcW w:w="1365"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56800 руб.</w:t>
            </w:r>
          </w:p>
        </w:tc>
        <w:tc>
          <w:tcPr>
            <w:tcW w:w="1580"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w:t>
            </w:r>
          </w:p>
        </w:tc>
        <w:tc>
          <w:tcPr>
            <w:tcW w:w="1966"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40480 руб.</w:t>
            </w:r>
          </w:p>
        </w:tc>
        <w:tc>
          <w:tcPr>
            <w:tcW w:w="1727" w:type="dxa"/>
            <w:vAlign w:val="center"/>
          </w:tcPr>
          <w:p w:rsidR="001754B7" w:rsidRPr="00E53457" w:rsidRDefault="001754B7" w:rsidP="00E53457">
            <w:pPr>
              <w:widowControl w:val="0"/>
              <w:tabs>
                <w:tab w:val="left" w:pos="288"/>
              </w:tabs>
              <w:suppressAutoHyphens/>
              <w:autoSpaceDE w:val="0"/>
              <w:autoSpaceDN w:val="0"/>
              <w:adjustRightInd w:val="0"/>
              <w:spacing w:line="360" w:lineRule="auto"/>
              <w:rPr>
                <w:sz w:val="20"/>
                <w:szCs w:val="20"/>
              </w:rPr>
            </w:pPr>
            <w:r w:rsidRPr="00E53457">
              <w:rPr>
                <w:sz w:val="20"/>
                <w:szCs w:val="20"/>
              </w:rPr>
              <w:t>16320 руб.</w:t>
            </w:r>
          </w:p>
        </w:tc>
      </w:tr>
    </w:tbl>
    <w:p w:rsidR="001754B7" w:rsidRPr="00E53457" w:rsidRDefault="001754B7" w:rsidP="00E53457">
      <w:pPr>
        <w:pStyle w:val="aji5m00"/>
        <w:suppressAutoHyphens/>
        <w:spacing w:line="360" w:lineRule="auto"/>
        <w:ind w:firstLine="709"/>
        <w:rPr>
          <w:sz w:val="28"/>
          <w:szCs w:val="28"/>
        </w:rPr>
      </w:pPr>
    </w:p>
    <w:p w:rsidR="009C640B" w:rsidRPr="00E53457" w:rsidRDefault="009C640B" w:rsidP="00E53457">
      <w:pPr>
        <w:pStyle w:val="ConsNormal"/>
        <w:widowControl/>
        <w:suppressAutoHyphens/>
        <w:spacing w:line="360" w:lineRule="auto"/>
        <w:ind w:right="0" w:firstLine="709"/>
        <w:jc w:val="both"/>
        <w:rPr>
          <w:rFonts w:ascii="Times New Roman" w:hAnsi="Times New Roman" w:cs="Times New Roman"/>
          <w:sz w:val="28"/>
          <w:szCs w:val="28"/>
        </w:rPr>
      </w:pPr>
      <w:r w:rsidRPr="00E53457">
        <w:rPr>
          <w:rFonts w:ascii="Times New Roman" w:hAnsi="Times New Roman" w:cs="Times New Roman"/>
          <w:sz w:val="28"/>
          <w:szCs w:val="28"/>
        </w:rPr>
        <w:t>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5A78DC" w:rsidRPr="00E53457" w:rsidRDefault="005A78DC" w:rsidP="00E53457">
      <w:pPr>
        <w:pStyle w:val="a6"/>
        <w:suppressAutoHyphens/>
        <w:spacing w:before="0" w:beforeAutospacing="0" w:after="0" w:afterAutospacing="0" w:line="360" w:lineRule="auto"/>
        <w:ind w:firstLine="709"/>
        <w:jc w:val="both"/>
        <w:rPr>
          <w:color w:val="000000"/>
          <w:sz w:val="28"/>
          <w:szCs w:val="28"/>
        </w:rPr>
      </w:pPr>
      <w:r w:rsidRPr="00E53457">
        <w:rPr>
          <w:color w:val="000000"/>
          <w:sz w:val="28"/>
          <w:szCs w:val="28"/>
        </w:rPr>
        <w:t>Как показала практика применения за истекшие три года законодательства о едином налоге на вмененный доход, рост поступлений данного налога достигнут, прежде всего, за счет легализации предпринимательской деятельности, вывода доходов из теневого сектора экономики, а также в результате постоянного повышения в регионах размера базовой доходности на единицу основного физического показателя по отдельным видам деятельности. Применение указанной системы налогообложения позволило:</w:t>
      </w:r>
    </w:p>
    <w:p w:rsidR="005A78DC" w:rsidRPr="00E53457" w:rsidRDefault="005A78DC" w:rsidP="00E53457">
      <w:pPr>
        <w:pStyle w:val="a6"/>
        <w:numPr>
          <w:ilvl w:val="0"/>
          <w:numId w:val="4"/>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минимизировать потери бюджета, возникающие при сокрытии (занижении) налогоплательщиками налогооблагаемой базы, а также необоснованном завышении затрат, связанных с осуществлением предпринимательской деятельности; </w:t>
      </w:r>
    </w:p>
    <w:p w:rsidR="005A78DC" w:rsidRPr="00E53457" w:rsidRDefault="005A78DC" w:rsidP="00E53457">
      <w:pPr>
        <w:pStyle w:val="a6"/>
        <w:numPr>
          <w:ilvl w:val="0"/>
          <w:numId w:val="4"/>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 xml:space="preserve">упростить учет доходов и расходов от осуществляемой деятельности; </w:t>
      </w:r>
    </w:p>
    <w:p w:rsidR="005A78DC" w:rsidRPr="00E53457" w:rsidRDefault="005A78DC" w:rsidP="00E53457">
      <w:pPr>
        <w:pStyle w:val="a6"/>
        <w:numPr>
          <w:ilvl w:val="0"/>
          <w:numId w:val="4"/>
        </w:numPr>
        <w:tabs>
          <w:tab w:val="clear" w:pos="2064"/>
          <w:tab w:val="num" w:pos="1080"/>
        </w:tabs>
        <w:suppressAutoHyphens/>
        <w:spacing w:before="0" w:beforeAutospacing="0" w:after="0" w:afterAutospacing="0" w:line="360" w:lineRule="auto"/>
        <w:ind w:left="0" w:firstLine="709"/>
        <w:jc w:val="both"/>
        <w:rPr>
          <w:color w:val="000000"/>
          <w:sz w:val="28"/>
          <w:szCs w:val="28"/>
        </w:rPr>
      </w:pPr>
      <w:r w:rsidRPr="00E53457">
        <w:rPr>
          <w:color w:val="000000"/>
          <w:sz w:val="28"/>
          <w:szCs w:val="28"/>
        </w:rPr>
        <w:t>снизить (в отдельных случаях) налоговую нагрузку, связанную с возложенной на налогоплательщиков обязанностью уплачивать большинство действующих налогов, таких, например, как НДС, налог на доходы (прибыль).</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В тоже время делегирование Федеральным законом о ЕНВД законодательным (представительным) органам государственной власти субъектов Российской Федерации права самостоятельного установления базовой доходности различных видов предпринимательской деятельности, переводимых на уплату ЕНВД, отсутствие единых методологических принципов определения налогооблагаемой базы привели к ее значительному завышению в отдельных регионах, а также к значительным колебаниям ее размеров в разных регионах, неравенству условий налогообложения отдельных категорий налогоплательщиков в этих регионах и, как следствие, к нарушению целостности единого экономического пространства в стране.</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По состоянию на 01.01.2006 г. поступления ЕНВД составили 26,6 млрд. рублей, в том числе в федеральный бюджет – 2,8 млрд. рублей (или 213,1% к уровню прошлого года), в территориальные бюджеты – 16,7 млрд. рублей (или 176,0% к уровню прошлого года), в государственные социальные внебюджетные фонды – 7,1 млрд. рублей. В целом поступления в бюджетную систему ЕНВД в 2001 году составляют 180,5% к соответствующему периоду прошлого года.</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От организаций ЕНВД поступило 10,9 млрд. рублей, в т.ч. в федеральный бюджет – 2,8 млрд. рублей, в территориальные бюджеты – 5,1 млрд. рублей, в государственные социальные внебюджетные фонды – 3,0 млрд. рублей.</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Поступления ЕНВД от индивидуальных предпринимателей составили 15,7 млрд. рублей (59,0% от общих поступлений налога), в т.ч. в территориальные бюджеты – 11,6 млрд. рублей, в государственные социальные внебюджетные фонды – 4,1 млрд. рублей.</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В целом по России доля поступлений ЕНВД в консолидируемом бюджете составила 1,0%, в территориальных бюджетах 1,7%.</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Наибольшую сумму поступлений ЕНВД обеспечили ИФНС России по Краснодарскому краю (1614,2 млн. руб.), Нижегородской области (1061,5 млн. руб.), Свердловской области (901,9 млн. руб.), Ростовской области (768,1 млн. руб.), Республике Татарстан (687,5 млн. руб.), Хабаровскому краю (632,1 млн. руб.).</w:t>
      </w:r>
    </w:p>
    <w:p w:rsidR="005A78DC" w:rsidRPr="00E53457" w:rsidRDefault="005A78DC" w:rsidP="00E53457">
      <w:pPr>
        <w:pStyle w:val="par"/>
        <w:suppressAutoHyphens/>
        <w:spacing w:before="0" w:beforeAutospacing="0" w:after="0" w:afterAutospacing="0" w:line="360" w:lineRule="auto"/>
        <w:ind w:firstLine="709"/>
        <w:jc w:val="both"/>
        <w:rPr>
          <w:color w:val="000000"/>
          <w:sz w:val="28"/>
          <w:szCs w:val="28"/>
        </w:rPr>
      </w:pPr>
      <w:r w:rsidRPr="00E53457">
        <w:rPr>
          <w:color w:val="000000"/>
          <w:sz w:val="28"/>
          <w:szCs w:val="28"/>
        </w:rPr>
        <w:t>Практика применения в субъектах Российской Федерации регионального законодательства о едином налоге на вмененный доход показала, что поступления данного налога зависят в значительной степени от соответствия вмененного дохода фактически получаемому налогоплательщиком доходу.</w:t>
      </w:r>
    </w:p>
    <w:p w:rsidR="00136F1D" w:rsidRPr="00E53457" w:rsidRDefault="000F1698" w:rsidP="00E53457">
      <w:pPr>
        <w:suppressAutoHyphens/>
        <w:spacing w:line="360" w:lineRule="auto"/>
        <w:ind w:firstLine="709"/>
        <w:jc w:val="both"/>
        <w:outlineLvl w:val="0"/>
        <w:rPr>
          <w:b/>
          <w:sz w:val="28"/>
          <w:szCs w:val="28"/>
        </w:rPr>
      </w:pPr>
      <w:bookmarkStart w:id="3" w:name="_Toc157520534"/>
      <w:r>
        <w:rPr>
          <w:color w:val="000000"/>
          <w:sz w:val="28"/>
          <w:szCs w:val="28"/>
        </w:rPr>
        <w:br w:type="page"/>
      </w:r>
      <w:r w:rsidR="00136F1D" w:rsidRPr="00E53457">
        <w:rPr>
          <w:b/>
          <w:sz w:val="28"/>
          <w:szCs w:val="28"/>
        </w:rPr>
        <w:t>ЗАКЛЮЧЕНИЕ</w:t>
      </w:r>
      <w:bookmarkEnd w:id="3"/>
    </w:p>
    <w:p w:rsidR="00136F1D" w:rsidRPr="00E53457" w:rsidRDefault="00136F1D" w:rsidP="00E53457">
      <w:pPr>
        <w:suppressAutoHyphens/>
        <w:spacing w:line="360" w:lineRule="auto"/>
        <w:ind w:firstLine="709"/>
        <w:jc w:val="both"/>
        <w:rPr>
          <w:b/>
          <w:sz w:val="28"/>
          <w:szCs w:val="28"/>
        </w:rPr>
      </w:pPr>
    </w:p>
    <w:p w:rsidR="00224B2F" w:rsidRPr="00E53457" w:rsidRDefault="00224B2F" w:rsidP="00E53457">
      <w:pPr>
        <w:pStyle w:val="a6"/>
        <w:suppressAutoHyphens/>
        <w:spacing w:before="0" w:beforeAutospacing="0" w:after="0" w:afterAutospacing="0" w:line="360" w:lineRule="auto"/>
        <w:ind w:firstLine="709"/>
        <w:jc w:val="both"/>
        <w:rPr>
          <w:sz w:val="28"/>
          <w:szCs w:val="28"/>
        </w:rPr>
      </w:pPr>
      <w:r w:rsidRPr="00E53457">
        <w:rPr>
          <w:sz w:val="28"/>
          <w:szCs w:val="28"/>
        </w:rPr>
        <w:t xml:space="preserve">Особый режим налогообложения для малого бизнеса принят в большинстве стран. Для этого существуют различные причины. Прежде всего, малое предпринимательство является важной сферой функционирования экономики. Малые предприятия отличаются большей гибкостью, легче приспосабливаются к изменяющейся конъюнктуре рынка. Поддержка малого предпринимательства позволяет увеличить занятость населения и таким образом улучшить социальную атмосферу в обществе и уменьшить расходы на выплату пособий по безработице. Особенно важным с этой точки зрения является развитие малого предпринимательства при структурной перестройке экономики, когда растет безработица за счет сокращения производства в целых отраслях. Для стран с переходной экономикой поддержка малого бизнеса может быть немаловажной и по политическим причинам – формирование значительного слоя независимых самостоятельных предпринимателей, осознающих свои интересы, простившихся с иждивенческой психологией и заинтересованных в развитии демократических институтов, может улучшить атмосферу в обществе и способствовать рыночной направленности его развития. Упрощение налогообложения и, соответственно, учета позволяет улучшить условия функционирования малого предпринимательства за счет снижения затрат (как финансовых, так и трудовых) на ведение учета и расчет налогов. </w:t>
      </w:r>
    </w:p>
    <w:p w:rsidR="00224B2F" w:rsidRPr="00E53457" w:rsidRDefault="00224B2F" w:rsidP="00E53457">
      <w:pPr>
        <w:pStyle w:val="a6"/>
        <w:suppressAutoHyphens/>
        <w:spacing w:before="0" w:beforeAutospacing="0" w:after="0" w:afterAutospacing="0" w:line="360" w:lineRule="auto"/>
        <w:ind w:firstLine="709"/>
        <w:jc w:val="both"/>
        <w:rPr>
          <w:sz w:val="28"/>
          <w:szCs w:val="28"/>
        </w:rPr>
      </w:pPr>
      <w:r w:rsidRPr="00E53457">
        <w:rPr>
          <w:sz w:val="28"/>
          <w:szCs w:val="28"/>
        </w:rPr>
        <w:t>В тоже время малое предпринимательство является и проблемой в обществе, в котором распространено уклонение от налогообложения. Если легальный уход от налогов путем использования лазеек в законодательстве в большей степени доступен крупным налогоплательщикам, как юридическим лицам, так и физическим, то уклонение от налогов путем сокрытия выручки, предоставления недостоверной отчетности или непредоставления ее вообще, ведение бизнеса без регистрации свойственны преимущественно именно малому предпринимательству. Причиной этому является не только большая возможность избежать наказания. Уклонение от налогообложения приобретает массовый характер в тех случаях, когда ожидаемый выигрыш от уклонения с учетом вероятности обнаружения нарушений и наказания превышает издержки, связанные с уплатой налогов, включающие в себя кроме собственно налоговых сумм, причитающихся к уплате, еще и издержки по ведению и предоставлению отчетности. Если издержки законопослушания неизменны в определенном промежутке изменения декларируемого дохода от нуля до некоторой суммы и достаточно высоки, они могут приводить к полному отказу от декларирования. Для малых значений дохода они действительно являются чрезмерно высокими. Напротив, если издержки законопослушания возрастают с ростом дохода, они для предприятия становятся аналогичными налогу на доход</w:t>
      </w:r>
      <w:r w:rsidRPr="00E53457">
        <w:rPr>
          <w:i/>
          <w:iCs/>
          <w:sz w:val="28"/>
          <w:szCs w:val="28"/>
        </w:rPr>
        <w:t xml:space="preserve">. </w:t>
      </w:r>
      <w:r w:rsidRPr="00E53457">
        <w:rPr>
          <w:sz w:val="28"/>
          <w:szCs w:val="28"/>
        </w:rPr>
        <w:t>Рост издержек законопослушного поведения с ростом дохода может быть обусловлен увеличением источников дохода при увеличении дохода. Но уменьшения издержек законопослушания при малых доходах можно добиться и путем установления упрощенных правил декларирования.</w:t>
      </w:r>
    </w:p>
    <w:p w:rsidR="00224B2F" w:rsidRPr="00E53457" w:rsidRDefault="00224B2F" w:rsidP="00E53457">
      <w:pPr>
        <w:suppressAutoHyphens/>
        <w:spacing w:line="360" w:lineRule="auto"/>
        <w:ind w:firstLine="709"/>
        <w:jc w:val="both"/>
        <w:rPr>
          <w:sz w:val="28"/>
          <w:szCs w:val="28"/>
        </w:rPr>
      </w:pPr>
      <w:r w:rsidRPr="00E53457">
        <w:rPr>
          <w:sz w:val="28"/>
          <w:szCs w:val="28"/>
        </w:rPr>
        <w:t>Упрощенные системы учета, в том числе применение единого налога на вмененный доход, приводят к снижению этих издержек для налогоплательщика, а также соответствующих административных издержек по проверке применяющих эти методы налогоплательщиков. Снижения уклонения от налогообложения можно добиться еще и за счет того, что признаки, на основании которых рассчитывается вмененный доход может быть сложнее скрыть или исказить, чем те, на которых основывается вычисление налогооблагаемого дохода в соответствии с общепринятым бухгалтерским учетом. В свою очередь снижение уклонения от налогообложения может служить более справедливому распределению налогового бремени.</w:t>
      </w:r>
    </w:p>
    <w:p w:rsidR="00452AB2" w:rsidRPr="00E53457" w:rsidRDefault="000F1698" w:rsidP="000F1698">
      <w:pPr>
        <w:suppressAutoHyphens/>
        <w:spacing w:line="360" w:lineRule="auto"/>
        <w:rPr>
          <w:b/>
          <w:sz w:val="28"/>
          <w:szCs w:val="28"/>
        </w:rPr>
      </w:pPr>
      <w:r>
        <w:rPr>
          <w:sz w:val="28"/>
          <w:szCs w:val="28"/>
        </w:rPr>
        <w:br w:type="page"/>
      </w:r>
      <w:bookmarkStart w:id="4" w:name="_Toc153739509"/>
      <w:bookmarkStart w:id="5" w:name="_Toc157520535"/>
      <w:r w:rsidR="00452AB2" w:rsidRPr="00E53457">
        <w:rPr>
          <w:b/>
          <w:sz w:val="28"/>
          <w:szCs w:val="28"/>
        </w:rPr>
        <w:t>СПИСОК ИСПОЛЬЗОВАННЫХ ИСТОЧНИКОВ</w:t>
      </w:r>
      <w:bookmarkEnd w:id="4"/>
      <w:bookmarkEnd w:id="5"/>
    </w:p>
    <w:p w:rsidR="00452AB2" w:rsidRPr="00E53457" w:rsidRDefault="00452AB2" w:rsidP="000F1698">
      <w:pPr>
        <w:suppressAutoHyphens/>
        <w:spacing w:line="360" w:lineRule="auto"/>
        <w:rPr>
          <w:b/>
          <w:sz w:val="28"/>
          <w:szCs w:val="28"/>
        </w:rPr>
      </w:pPr>
    </w:p>
    <w:p w:rsidR="00452AB2" w:rsidRPr="00E53457" w:rsidRDefault="00452AB2" w:rsidP="000F1698">
      <w:pPr>
        <w:numPr>
          <w:ilvl w:val="0"/>
          <w:numId w:val="1"/>
        </w:numPr>
        <w:tabs>
          <w:tab w:val="num" w:pos="540"/>
        </w:tabs>
        <w:suppressAutoHyphens/>
        <w:spacing w:line="360" w:lineRule="auto"/>
        <w:ind w:left="0" w:firstLine="0"/>
        <w:rPr>
          <w:sz w:val="28"/>
          <w:szCs w:val="28"/>
        </w:rPr>
      </w:pPr>
      <w:r w:rsidRPr="00E53457">
        <w:rPr>
          <w:sz w:val="28"/>
          <w:szCs w:val="28"/>
        </w:rPr>
        <w:t xml:space="preserve">Налоговый Кодекс РФ. Ч. </w:t>
      </w:r>
      <w:r w:rsidRPr="00E53457">
        <w:rPr>
          <w:sz w:val="28"/>
          <w:szCs w:val="28"/>
          <w:lang w:val="en-US"/>
        </w:rPr>
        <w:t>I</w:t>
      </w:r>
      <w:r w:rsidRPr="00E53457">
        <w:rPr>
          <w:sz w:val="28"/>
          <w:szCs w:val="28"/>
        </w:rPr>
        <w:t>,</w:t>
      </w:r>
      <w:r w:rsidRPr="00E53457">
        <w:rPr>
          <w:sz w:val="28"/>
          <w:szCs w:val="28"/>
          <w:lang w:val="en-US"/>
        </w:rPr>
        <w:t>II</w:t>
      </w:r>
      <w:r w:rsidRPr="00E53457">
        <w:rPr>
          <w:sz w:val="28"/>
          <w:szCs w:val="28"/>
        </w:rPr>
        <w:t>.</w:t>
      </w:r>
    </w:p>
    <w:p w:rsidR="00452AB2" w:rsidRPr="00E53457" w:rsidRDefault="00452AB2" w:rsidP="000F1698">
      <w:pPr>
        <w:numPr>
          <w:ilvl w:val="0"/>
          <w:numId w:val="1"/>
        </w:numPr>
        <w:tabs>
          <w:tab w:val="num" w:pos="540"/>
        </w:tabs>
        <w:suppressAutoHyphens/>
        <w:spacing w:line="360" w:lineRule="auto"/>
        <w:ind w:left="0" w:firstLine="0"/>
        <w:rPr>
          <w:sz w:val="28"/>
          <w:szCs w:val="28"/>
        </w:rPr>
      </w:pPr>
      <w:r w:rsidRPr="00E53457">
        <w:rPr>
          <w:sz w:val="28"/>
          <w:szCs w:val="28"/>
        </w:rPr>
        <w:t xml:space="preserve">Бабаев Ю.А. Бухгалтерский учет. – М., 2002. </w:t>
      </w:r>
    </w:p>
    <w:p w:rsidR="00452AB2" w:rsidRPr="00E53457" w:rsidRDefault="00452AB2" w:rsidP="000F1698">
      <w:pPr>
        <w:pStyle w:val="a9"/>
        <w:numPr>
          <w:ilvl w:val="0"/>
          <w:numId w:val="1"/>
        </w:numPr>
        <w:suppressAutoHyphens/>
        <w:spacing w:line="360" w:lineRule="auto"/>
        <w:ind w:left="0" w:firstLine="0"/>
        <w:rPr>
          <w:sz w:val="28"/>
          <w:szCs w:val="28"/>
        </w:rPr>
      </w:pPr>
      <w:r w:rsidRPr="00E53457">
        <w:rPr>
          <w:sz w:val="28"/>
          <w:szCs w:val="28"/>
        </w:rPr>
        <w:t>Баженов Г.Е., Гнездилова Л.И. Экономика предприятия. Новосибирск: изд. Наука, 2000.</w:t>
      </w:r>
    </w:p>
    <w:p w:rsidR="00452AB2" w:rsidRPr="00E53457" w:rsidRDefault="00452AB2" w:rsidP="000F1698">
      <w:pPr>
        <w:numPr>
          <w:ilvl w:val="0"/>
          <w:numId w:val="1"/>
        </w:numPr>
        <w:suppressAutoHyphens/>
        <w:spacing w:line="360" w:lineRule="auto"/>
        <w:ind w:left="0" w:firstLine="0"/>
        <w:rPr>
          <w:sz w:val="28"/>
          <w:szCs w:val="28"/>
        </w:rPr>
      </w:pPr>
      <w:r w:rsidRPr="00E53457">
        <w:rPr>
          <w:sz w:val="28"/>
          <w:szCs w:val="28"/>
        </w:rPr>
        <w:t>Баканов М.И., Шеремет А.Д. Теория экономического анализа: Учебник. – 4-е изд. – М., 1997.</w:t>
      </w:r>
    </w:p>
    <w:p w:rsidR="00452AB2" w:rsidRPr="00E53457" w:rsidRDefault="00452AB2" w:rsidP="000F1698">
      <w:pPr>
        <w:numPr>
          <w:ilvl w:val="0"/>
          <w:numId w:val="1"/>
        </w:numPr>
        <w:suppressAutoHyphens/>
        <w:spacing w:line="360" w:lineRule="auto"/>
        <w:ind w:left="0" w:firstLine="0"/>
        <w:rPr>
          <w:sz w:val="28"/>
          <w:szCs w:val="28"/>
        </w:rPr>
      </w:pPr>
      <w:r w:rsidRPr="00E53457">
        <w:rPr>
          <w:sz w:val="28"/>
          <w:szCs w:val="28"/>
        </w:rPr>
        <w:t>Варакса Н.Н. Трансформация систем налогообложения малого бизнеса в развитых странах.// Управленческий учет. 2005. №1.</w:t>
      </w:r>
    </w:p>
    <w:p w:rsidR="00452AB2" w:rsidRPr="00E53457" w:rsidRDefault="00452AB2" w:rsidP="000F1698">
      <w:pPr>
        <w:numPr>
          <w:ilvl w:val="0"/>
          <w:numId w:val="1"/>
        </w:numPr>
        <w:suppressAutoHyphens/>
        <w:spacing w:line="360" w:lineRule="auto"/>
        <w:ind w:left="0" w:firstLine="0"/>
        <w:rPr>
          <w:bCs/>
          <w:color w:val="000000"/>
          <w:sz w:val="28"/>
          <w:szCs w:val="28"/>
        </w:rPr>
      </w:pPr>
      <w:r w:rsidRPr="00E53457">
        <w:rPr>
          <w:bCs/>
          <w:color w:val="000000"/>
          <w:sz w:val="28"/>
          <w:szCs w:val="28"/>
        </w:rPr>
        <w:t>Виленский А.В. Российские объединения малых предпринимателей как институт гражданского общества // Общественные науки и современность, 2005. № 1. С. 59-68.</w:t>
      </w:r>
    </w:p>
    <w:p w:rsidR="00452AB2" w:rsidRPr="00E53457" w:rsidRDefault="00452AB2" w:rsidP="000F1698">
      <w:pPr>
        <w:numPr>
          <w:ilvl w:val="0"/>
          <w:numId w:val="1"/>
        </w:numPr>
        <w:suppressAutoHyphens/>
        <w:spacing w:line="360" w:lineRule="auto"/>
        <w:ind w:left="0" w:firstLine="0"/>
        <w:rPr>
          <w:sz w:val="28"/>
          <w:szCs w:val="28"/>
        </w:rPr>
      </w:pPr>
      <w:r w:rsidRPr="00E53457">
        <w:rPr>
          <w:bCs/>
          <w:color w:val="000000"/>
          <w:sz w:val="28"/>
          <w:szCs w:val="28"/>
        </w:rPr>
        <w:t>Дыбова Е.Н. Некоторые</w:t>
      </w:r>
      <w:r w:rsidRPr="00E53457">
        <w:rPr>
          <w:color w:val="000000"/>
          <w:sz w:val="28"/>
          <w:szCs w:val="28"/>
        </w:rPr>
        <w:t xml:space="preserve"> актуальные проблемы малого бизнеса. Взгляд предпринимателя.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p w:rsidR="00452AB2" w:rsidRPr="00E53457" w:rsidRDefault="00452AB2" w:rsidP="000F1698">
      <w:pPr>
        <w:numPr>
          <w:ilvl w:val="0"/>
          <w:numId w:val="1"/>
        </w:numPr>
        <w:suppressAutoHyphens/>
        <w:spacing w:line="360" w:lineRule="auto"/>
        <w:ind w:left="0" w:firstLine="0"/>
        <w:rPr>
          <w:bCs/>
          <w:sz w:val="28"/>
          <w:szCs w:val="28"/>
        </w:rPr>
      </w:pPr>
      <w:r w:rsidRPr="00E53457">
        <w:rPr>
          <w:bCs/>
          <w:sz w:val="28"/>
          <w:szCs w:val="28"/>
        </w:rPr>
        <w:t xml:space="preserve"> Лапуста М.Г., Старостин Ю.Л. Малое предпринимательство.  М.: ИНФРА, 2005.</w:t>
      </w:r>
    </w:p>
    <w:p w:rsidR="00452AB2" w:rsidRPr="00E53457" w:rsidRDefault="00452AB2" w:rsidP="000F1698">
      <w:pPr>
        <w:numPr>
          <w:ilvl w:val="0"/>
          <w:numId w:val="1"/>
        </w:numPr>
        <w:tabs>
          <w:tab w:val="left" w:pos="360"/>
        </w:tabs>
        <w:suppressAutoHyphens/>
        <w:spacing w:line="360" w:lineRule="auto"/>
        <w:ind w:left="0" w:firstLine="0"/>
        <w:rPr>
          <w:sz w:val="28"/>
          <w:szCs w:val="28"/>
        </w:rPr>
      </w:pPr>
      <w:r w:rsidRPr="00E53457">
        <w:rPr>
          <w:bCs/>
          <w:sz w:val="28"/>
          <w:szCs w:val="28"/>
        </w:rPr>
        <w:t>Неёлов Ю.В. Малое предпринимательство.</w:t>
      </w:r>
      <w:r w:rsidRPr="00E53457">
        <w:rPr>
          <w:color w:val="000000"/>
          <w:sz w:val="28"/>
          <w:szCs w:val="28"/>
        </w:rPr>
        <w:t xml:space="preserve">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p w:rsidR="00452AB2" w:rsidRPr="00E53457" w:rsidRDefault="00452AB2" w:rsidP="000F1698">
      <w:pPr>
        <w:numPr>
          <w:ilvl w:val="0"/>
          <w:numId w:val="1"/>
        </w:numPr>
        <w:tabs>
          <w:tab w:val="num" w:pos="540"/>
        </w:tabs>
        <w:suppressAutoHyphens/>
        <w:spacing w:line="360" w:lineRule="auto"/>
        <w:ind w:left="0" w:firstLine="0"/>
        <w:rPr>
          <w:color w:val="000000"/>
          <w:sz w:val="28"/>
          <w:szCs w:val="28"/>
        </w:rPr>
      </w:pPr>
      <w:r w:rsidRPr="00E53457">
        <w:rPr>
          <w:color w:val="000000"/>
          <w:sz w:val="28"/>
          <w:szCs w:val="28"/>
        </w:rPr>
        <w:t>Осипова М.В. Бюджетная система РФ. Учебник. М.: Мысль, 2002.</w:t>
      </w:r>
    </w:p>
    <w:p w:rsidR="00452AB2" w:rsidRPr="00E53457" w:rsidRDefault="00452AB2" w:rsidP="000F1698">
      <w:pPr>
        <w:numPr>
          <w:ilvl w:val="0"/>
          <w:numId w:val="1"/>
        </w:numPr>
        <w:suppressAutoHyphens/>
        <w:spacing w:line="360" w:lineRule="auto"/>
        <w:ind w:left="0" w:firstLine="0"/>
        <w:rPr>
          <w:color w:val="000000"/>
          <w:sz w:val="28"/>
          <w:szCs w:val="28"/>
        </w:rPr>
      </w:pPr>
      <w:r w:rsidRPr="00E53457">
        <w:rPr>
          <w:color w:val="000000"/>
          <w:sz w:val="28"/>
          <w:szCs w:val="28"/>
        </w:rPr>
        <w:t xml:space="preserve">Трапкова А.В. Доверие в российском малом и среднем бизнесе // </w:t>
      </w:r>
      <w:r w:rsidRPr="00E53457">
        <w:rPr>
          <w:color w:val="000000"/>
          <w:sz w:val="28"/>
          <w:szCs w:val="28"/>
        </w:rPr>
        <w:br/>
        <w:t>Общественные науки и современность, 2004. № 4. С. 36-48.</w:t>
      </w:r>
    </w:p>
    <w:p w:rsidR="00452AB2" w:rsidRPr="00E53457" w:rsidRDefault="00452AB2" w:rsidP="000F1698">
      <w:pPr>
        <w:numPr>
          <w:ilvl w:val="0"/>
          <w:numId w:val="1"/>
        </w:numPr>
        <w:tabs>
          <w:tab w:val="num" w:pos="540"/>
        </w:tabs>
        <w:suppressAutoHyphens/>
        <w:spacing w:line="360" w:lineRule="auto"/>
        <w:ind w:left="0" w:firstLine="0"/>
        <w:rPr>
          <w:b/>
          <w:sz w:val="28"/>
          <w:szCs w:val="28"/>
        </w:rPr>
      </w:pPr>
      <w:r w:rsidRPr="00E53457">
        <w:rPr>
          <w:sz w:val="28"/>
          <w:szCs w:val="28"/>
        </w:rPr>
        <w:t>Петров В. Налоговая реформа 2003-2005 гг. // Экономика России – 21-й век. 2005. №12.</w:t>
      </w:r>
    </w:p>
    <w:p w:rsidR="00452AB2" w:rsidRPr="00E53457" w:rsidRDefault="00452AB2" w:rsidP="000F1698">
      <w:pPr>
        <w:numPr>
          <w:ilvl w:val="0"/>
          <w:numId w:val="1"/>
        </w:numPr>
        <w:tabs>
          <w:tab w:val="num" w:pos="540"/>
        </w:tabs>
        <w:suppressAutoHyphens/>
        <w:spacing w:line="360" w:lineRule="auto"/>
        <w:ind w:left="0" w:firstLine="0"/>
        <w:rPr>
          <w:b/>
          <w:sz w:val="28"/>
          <w:szCs w:val="28"/>
        </w:rPr>
      </w:pPr>
      <w:r w:rsidRPr="00E53457">
        <w:rPr>
          <w:sz w:val="28"/>
          <w:szCs w:val="28"/>
        </w:rPr>
        <w:t>Уйменов А. Малому бизнесу обещают светлое финансовое будущее.// Финансы. 2006. №6.</w:t>
      </w:r>
    </w:p>
    <w:p w:rsidR="00452AB2" w:rsidRPr="00E53457" w:rsidRDefault="00452AB2" w:rsidP="000F1698">
      <w:pPr>
        <w:pStyle w:val="a9"/>
        <w:numPr>
          <w:ilvl w:val="0"/>
          <w:numId w:val="1"/>
        </w:numPr>
        <w:tabs>
          <w:tab w:val="num" w:pos="540"/>
        </w:tabs>
        <w:suppressAutoHyphens/>
        <w:spacing w:line="360" w:lineRule="auto"/>
        <w:ind w:left="0" w:firstLine="0"/>
        <w:rPr>
          <w:sz w:val="28"/>
          <w:szCs w:val="28"/>
        </w:rPr>
      </w:pPr>
      <w:r w:rsidRPr="00E53457">
        <w:rPr>
          <w:sz w:val="28"/>
          <w:szCs w:val="28"/>
        </w:rPr>
        <w:t>Цветков И. О некоторых вопросах применения налогового законодательства.// Материалы к семинару по налоговому планированию и защите интересов налогоплательщиков, проведенному Американской ассоциацией юристов.</w:t>
      </w:r>
    </w:p>
    <w:p w:rsidR="00452AB2" w:rsidRPr="00E53457" w:rsidRDefault="00452AB2" w:rsidP="000F1698">
      <w:pPr>
        <w:numPr>
          <w:ilvl w:val="0"/>
          <w:numId w:val="1"/>
        </w:numPr>
        <w:tabs>
          <w:tab w:val="num" w:pos="540"/>
        </w:tabs>
        <w:suppressAutoHyphens/>
        <w:spacing w:line="360" w:lineRule="auto"/>
        <w:ind w:left="0" w:firstLine="0"/>
        <w:rPr>
          <w:b/>
          <w:sz w:val="28"/>
          <w:szCs w:val="28"/>
        </w:rPr>
      </w:pPr>
      <w:r w:rsidRPr="00E53457">
        <w:rPr>
          <w:sz w:val="28"/>
          <w:szCs w:val="28"/>
        </w:rPr>
        <w:t>Шаталов С. Налоговая система находится на завершающем этапе реформирования.// РИА «Новости». 06.09.2005.</w:t>
      </w:r>
      <w:bookmarkStart w:id="6" w:name="_GoBack"/>
      <w:bookmarkEnd w:id="6"/>
    </w:p>
    <w:sectPr w:rsidR="00452AB2" w:rsidRPr="00E53457" w:rsidSect="00E53457">
      <w:headerReference w:type="even" r:id="rId7"/>
      <w:head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8B" w:rsidRDefault="0090398B">
      <w:r>
        <w:separator/>
      </w:r>
    </w:p>
  </w:endnote>
  <w:endnote w:type="continuationSeparator" w:id="0">
    <w:p w:rsidR="0090398B" w:rsidRDefault="0090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8B" w:rsidRDefault="0090398B">
      <w:r>
        <w:separator/>
      </w:r>
    </w:p>
  </w:footnote>
  <w:footnote w:type="continuationSeparator" w:id="0">
    <w:p w:rsidR="0090398B" w:rsidRDefault="00903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57" w:rsidRDefault="00E53457" w:rsidP="002F7807">
    <w:pPr>
      <w:pStyle w:val="a3"/>
      <w:framePr w:wrap="around" w:vAnchor="text" w:hAnchor="margin" w:xAlign="right" w:y="1"/>
      <w:rPr>
        <w:rStyle w:val="a5"/>
      </w:rPr>
    </w:pPr>
  </w:p>
  <w:p w:rsidR="00E53457" w:rsidRDefault="00E53457" w:rsidP="00B158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57" w:rsidRDefault="00E53457" w:rsidP="00B158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A3BED"/>
    <w:multiLevelType w:val="hybridMultilevel"/>
    <w:tmpl w:val="59D23376"/>
    <w:lvl w:ilvl="0" w:tplc="6374C27E">
      <w:start w:val="1"/>
      <w:numFmt w:val="bullet"/>
      <w:lvlText w:val=""/>
      <w:lvlJc w:val="left"/>
      <w:pPr>
        <w:tabs>
          <w:tab w:val="num" w:pos="2064"/>
        </w:tabs>
        <w:ind w:left="851" w:firstLine="90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40C920A5"/>
    <w:multiLevelType w:val="hybridMultilevel"/>
    <w:tmpl w:val="015EA9DE"/>
    <w:lvl w:ilvl="0" w:tplc="6374C27E">
      <w:start w:val="1"/>
      <w:numFmt w:val="bullet"/>
      <w:lvlText w:val=""/>
      <w:lvlJc w:val="left"/>
      <w:pPr>
        <w:tabs>
          <w:tab w:val="num" w:pos="2064"/>
        </w:tabs>
        <w:ind w:left="851" w:firstLine="90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4A141E53"/>
    <w:multiLevelType w:val="hybridMultilevel"/>
    <w:tmpl w:val="02EC69EC"/>
    <w:lvl w:ilvl="0" w:tplc="34BEE110">
      <w:start w:val="1"/>
      <w:numFmt w:val="decimal"/>
      <w:lvlText w:val="%1."/>
      <w:lvlJc w:val="left"/>
      <w:pPr>
        <w:tabs>
          <w:tab w:val="num" w:pos="360"/>
        </w:tabs>
        <w:ind w:left="36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DBA692F"/>
    <w:multiLevelType w:val="hybridMultilevel"/>
    <w:tmpl w:val="14F2C50E"/>
    <w:lvl w:ilvl="0" w:tplc="6374C27E">
      <w:start w:val="1"/>
      <w:numFmt w:val="bullet"/>
      <w:lvlText w:val=""/>
      <w:lvlJc w:val="left"/>
      <w:pPr>
        <w:tabs>
          <w:tab w:val="num" w:pos="2064"/>
        </w:tabs>
        <w:ind w:left="851" w:firstLine="90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58ED"/>
    <w:rsid w:val="00061F5A"/>
    <w:rsid w:val="000C1418"/>
    <w:rsid w:val="000D6C71"/>
    <w:rsid w:val="000F1698"/>
    <w:rsid w:val="00120673"/>
    <w:rsid w:val="00136F1D"/>
    <w:rsid w:val="001754B7"/>
    <w:rsid w:val="00224B2F"/>
    <w:rsid w:val="002A54DA"/>
    <w:rsid w:val="002B53B6"/>
    <w:rsid w:val="002F7807"/>
    <w:rsid w:val="00321BEF"/>
    <w:rsid w:val="0035034D"/>
    <w:rsid w:val="00397930"/>
    <w:rsid w:val="003B3719"/>
    <w:rsid w:val="003F2E59"/>
    <w:rsid w:val="00427A53"/>
    <w:rsid w:val="00452AB2"/>
    <w:rsid w:val="00487F10"/>
    <w:rsid w:val="004A243E"/>
    <w:rsid w:val="00510099"/>
    <w:rsid w:val="005378E1"/>
    <w:rsid w:val="00584A3C"/>
    <w:rsid w:val="005A78DC"/>
    <w:rsid w:val="0064300C"/>
    <w:rsid w:val="006D68AD"/>
    <w:rsid w:val="00741408"/>
    <w:rsid w:val="00775E66"/>
    <w:rsid w:val="007D7A44"/>
    <w:rsid w:val="00862603"/>
    <w:rsid w:val="008C1B20"/>
    <w:rsid w:val="008C23F8"/>
    <w:rsid w:val="008E6906"/>
    <w:rsid w:val="0090398B"/>
    <w:rsid w:val="009C640B"/>
    <w:rsid w:val="00A75276"/>
    <w:rsid w:val="00B158ED"/>
    <w:rsid w:val="00B43CA1"/>
    <w:rsid w:val="00B74887"/>
    <w:rsid w:val="00BE6462"/>
    <w:rsid w:val="00C26AC3"/>
    <w:rsid w:val="00CD4F3A"/>
    <w:rsid w:val="00CF0639"/>
    <w:rsid w:val="00D74218"/>
    <w:rsid w:val="00E53457"/>
    <w:rsid w:val="00EE067B"/>
    <w:rsid w:val="00F26675"/>
    <w:rsid w:val="00F42DCE"/>
    <w:rsid w:val="00F92C99"/>
    <w:rsid w:val="00F93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752426-6160-41AB-9C53-F116313C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58ED"/>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158ED"/>
    <w:rPr>
      <w:rFonts w:cs="Times New Roman"/>
    </w:rPr>
  </w:style>
  <w:style w:type="paragraph" w:styleId="a6">
    <w:name w:val="Normal (Web)"/>
    <w:basedOn w:val="a"/>
    <w:uiPriority w:val="99"/>
    <w:rsid w:val="00487F10"/>
    <w:pPr>
      <w:spacing w:before="100" w:beforeAutospacing="1" w:after="100" w:afterAutospacing="1"/>
    </w:pPr>
  </w:style>
  <w:style w:type="character" w:styleId="a7">
    <w:name w:val="Hyperlink"/>
    <w:uiPriority w:val="99"/>
    <w:rsid w:val="00487F10"/>
    <w:rPr>
      <w:rFonts w:cs="Times New Roman"/>
      <w:color w:val="1A6375"/>
      <w:u w:val="single"/>
    </w:rPr>
  </w:style>
  <w:style w:type="character" w:customStyle="1" w:styleId="hl21">
    <w:name w:val="hl21"/>
    <w:rsid w:val="00F42DCE"/>
    <w:rPr>
      <w:rFonts w:cs="Times New Roman"/>
      <w:b/>
      <w:bCs/>
      <w:sz w:val="24"/>
      <w:szCs w:val="24"/>
    </w:rPr>
  </w:style>
  <w:style w:type="paragraph" w:customStyle="1" w:styleId="par">
    <w:name w:val="par"/>
    <w:basedOn w:val="a"/>
    <w:rsid w:val="005A78DC"/>
    <w:pPr>
      <w:spacing w:before="100" w:beforeAutospacing="1" w:after="100" w:afterAutospacing="1"/>
    </w:pPr>
  </w:style>
  <w:style w:type="table" w:styleId="a8">
    <w:name w:val="Table Grid"/>
    <w:basedOn w:val="a1"/>
    <w:uiPriority w:val="59"/>
    <w:rsid w:val="005A78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ji5m00">
    <w:name w:val="aji5m0_0"/>
    <w:basedOn w:val="a"/>
    <w:rsid w:val="005A78DC"/>
    <w:pPr>
      <w:ind w:firstLine="600"/>
      <w:jc w:val="both"/>
    </w:pPr>
    <w:rPr>
      <w:color w:val="000000"/>
    </w:rPr>
  </w:style>
  <w:style w:type="paragraph" w:customStyle="1" w:styleId="ConsNormal">
    <w:name w:val="ConsNormal"/>
    <w:rsid w:val="009C640B"/>
    <w:pPr>
      <w:widowControl w:val="0"/>
      <w:autoSpaceDE w:val="0"/>
      <w:autoSpaceDN w:val="0"/>
      <w:adjustRightInd w:val="0"/>
      <w:ind w:right="19772" w:firstLine="720"/>
    </w:pPr>
    <w:rPr>
      <w:rFonts w:ascii="Arial" w:hAnsi="Arial" w:cs="Arial"/>
    </w:rPr>
  </w:style>
  <w:style w:type="paragraph" w:styleId="a9">
    <w:name w:val="footnote text"/>
    <w:basedOn w:val="a"/>
    <w:link w:val="aa"/>
    <w:uiPriority w:val="99"/>
    <w:semiHidden/>
    <w:rsid w:val="00452AB2"/>
    <w:rPr>
      <w:sz w:val="20"/>
      <w:szCs w:val="20"/>
    </w:rPr>
  </w:style>
  <w:style w:type="character" w:customStyle="1" w:styleId="aa">
    <w:name w:val="Текст сноски Знак"/>
    <w:link w:val="a9"/>
    <w:uiPriority w:val="99"/>
    <w:semiHidden/>
  </w:style>
  <w:style w:type="paragraph" w:styleId="1">
    <w:name w:val="toc 1"/>
    <w:basedOn w:val="a"/>
    <w:next w:val="a"/>
    <w:autoRedefine/>
    <w:uiPriority w:val="39"/>
    <w:semiHidden/>
    <w:rsid w:val="008C1B20"/>
  </w:style>
  <w:style w:type="paragraph" w:styleId="ab">
    <w:name w:val="footer"/>
    <w:basedOn w:val="a"/>
    <w:link w:val="ac"/>
    <w:uiPriority w:val="99"/>
    <w:rsid w:val="008E6906"/>
    <w:pPr>
      <w:tabs>
        <w:tab w:val="center" w:pos="4677"/>
        <w:tab w:val="right" w:pos="9355"/>
      </w:tabs>
    </w:pPr>
  </w:style>
  <w:style w:type="character" w:customStyle="1" w:styleId="ac">
    <w:name w:val="Нижний колонтитул Знак"/>
    <w:link w:val="ab"/>
    <w:uiPriority w:val="99"/>
    <w:locked/>
    <w:rsid w:val="008E690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824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5955</Words>
  <Characters>33944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39820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2014-03-12T12:31:00Z</dcterms:created>
  <dcterms:modified xsi:type="dcterms:W3CDTF">2014-03-12T12:31:00Z</dcterms:modified>
</cp:coreProperties>
</file>