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A448C5">
        <w:rPr>
          <w:b/>
          <w:sz w:val="28"/>
        </w:rPr>
        <w:t>Саратовский военно-медицинский институт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A448C5">
        <w:rPr>
          <w:b/>
          <w:sz w:val="28"/>
        </w:rPr>
        <w:t>Кафедра терапии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448C5" w:rsidRPr="00A448C5" w:rsidRDefault="00A448C5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448C5" w:rsidRPr="00A448C5" w:rsidRDefault="00A448C5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448C5" w:rsidRPr="00A448C5" w:rsidRDefault="00A448C5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448C5" w:rsidRPr="00A448C5" w:rsidRDefault="00A448C5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A448C5">
        <w:rPr>
          <w:b/>
          <w:sz w:val="28"/>
        </w:rPr>
        <w:t>Курсовая работа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A448C5">
        <w:rPr>
          <w:b/>
          <w:sz w:val="28"/>
        </w:rPr>
        <w:t>Тема : Потемнение кожных покровов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448C5" w:rsidRPr="00A448C5" w:rsidRDefault="00A448C5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 xml:space="preserve">Нач.кафедры </w:t>
      </w:r>
    </w:p>
    <w:p w:rsidR="00A448C5" w:rsidRPr="00A448C5" w:rsidRDefault="00A448C5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проф. п-к м/сл Парфенюк В.К.</w:t>
      </w:r>
    </w:p>
    <w:p w:rsidR="00A448C5" w:rsidRPr="00A448C5" w:rsidRDefault="00A448C5" w:rsidP="00A448C5">
      <w:pPr>
        <w:widowControl w:val="0"/>
        <w:spacing w:line="360" w:lineRule="auto"/>
        <w:rPr>
          <w:color w:val="000000"/>
          <w:sz w:val="28"/>
        </w:rPr>
      </w:pPr>
    </w:p>
    <w:p w:rsidR="00A448C5" w:rsidRPr="00A448C5" w:rsidRDefault="00A045F3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Научный руководитель :</w:t>
      </w:r>
    </w:p>
    <w:p w:rsidR="00A448C5" w:rsidRPr="00A448C5" w:rsidRDefault="00A045F3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асс. каф. Брилль Л.Д.</w:t>
      </w:r>
    </w:p>
    <w:p w:rsidR="00A448C5" w:rsidRPr="00A448C5" w:rsidRDefault="00A448C5" w:rsidP="00A448C5">
      <w:pPr>
        <w:widowControl w:val="0"/>
        <w:spacing w:line="360" w:lineRule="auto"/>
        <w:rPr>
          <w:color w:val="000000"/>
          <w:sz w:val="28"/>
        </w:rPr>
      </w:pPr>
    </w:p>
    <w:p w:rsidR="00A448C5" w:rsidRPr="00A448C5" w:rsidRDefault="00A045F3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 xml:space="preserve">Выполнила : </w:t>
      </w:r>
    </w:p>
    <w:p w:rsidR="00A448C5" w:rsidRPr="00A448C5" w:rsidRDefault="00A045F3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слушатель 7 курса</w:t>
      </w:r>
    </w:p>
    <w:p w:rsidR="00A448C5" w:rsidRPr="00A448C5" w:rsidRDefault="00A045F3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1 терапевтической группы</w:t>
      </w:r>
    </w:p>
    <w:p w:rsidR="00A045F3" w:rsidRPr="00A448C5" w:rsidRDefault="00A045F3" w:rsidP="00A448C5">
      <w:pPr>
        <w:widowControl w:val="0"/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л-т</w:t>
      </w:r>
      <w:r w:rsidR="00A448C5" w:rsidRPr="00A448C5">
        <w:rPr>
          <w:color w:val="000000"/>
          <w:sz w:val="28"/>
        </w:rPr>
        <w:t xml:space="preserve"> </w:t>
      </w:r>
      <w:r w:rsidRPr="00A448C5">
        <w:rPr>
          <w:color w:val="000000"/>
          <w:sz w:val="28"/>
        </w:rPr>
        <w:t>м/сл</w:t>
      </w:r>
      <w:r w:rsidR="00A448C5" w:rsidRPr="00A448C5">
        <w:rPr>
          <w:color w:val="000000"/>
          <w:sz w:val="28"/>
        </w:rPr>
        <w:t xml:space="preserve"> </w:t>
      </w:r>
      <w:r w:rsidRPr="00A448C5">
        <w:rPr>
          <w:color w:val="000000"/>
          <w:sz w:val="28"/>
        </w:rPr>
        <w:t>Оноприенко Н.В.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center"/>
        <w:rPr>
          <w:sz w:val="28"/>
        </w:rPr>
      </w:pPr>
      <w:r w:rsidRPr="00A448C5">
        <w:rPr>
          <w:sz w:val="28"/>
        </w:rPr>
        <w:t>г. Саратов 2000 год.</w:t>
      </w:r>
    </w:p>
    <w:p w:rsidR="00A045F3" w:rsidRP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br w:type="page"/>
        <w:t>СТРОЕНИЕ И ФУНКЦИИ КОЖИ</w:t>
      </w: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Кожа образует внешний покров организма, площадь которого у взрослого человека достигает 1,5-2 м</w:t>
      </w:r>
      <w:r w:rsidRPr="00A448C5">
        <w:rPr>
          <w:sz w:val="28"/>
          <w:vertAlign w:val="superscript"/>
        </w:rPr>
        <w:t>2</w:t>
      </w:r>
      <w:r w:rsidRPr="00A448C5">
        <w:rPr>
          <w:sz w:val="28"/>
        </w:rPr>
        <w:t xml:space="preserve">. Из производных кожи у человека имеется потовые и сальные железы, волосы и ногти. 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Кожа выполняет различные функции. Она защищает подлежащие ткани организма от повреждений. Здоровая кожа непроницаема для микроорганизмов, многих ядовитых и вредных веществ. Кожа участвует в водно-солевом, а также в тепловом обмене с внешней средой. В коже под действием ультрафиолетовых лучей синтезируется витамин Д. Наличие в коже обильной сосудистой сети и артериовенулярных анастомозов определяет ее значение как депо крови. Благодаря обильной иннервации кожный покров представляет собой огромное рецепторное поле, в котором сосредоточены осязательные, температурные и болевые нервные окончания.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Кожа состоит из двух частей: эпителиальной </w:t>
      </w:r>
      <w:r>
        <w:rPr>
          <w:sz w:val="28"/>
        </w:rPr>
        <w:t>(</w:t>
      </w:r>
      <w:r w:rsidRPr="00A448C5">
        <w:rPr>
          <w:sz w:val="28"/>
        </w:rPr>
        <w:t>эпидермиса</w:t>
      </w:r>
      <w:r>
        <w:rPr>
          <w:sz w:val="28"/>
        </w:rPr>
        <w:t>)</w:t>
      </w:r>
      <w:r w:rsidRPr="00A448C5">
        <w:rPr>
          <w:sz w:val="28"/>
        </w:rPr>
        <w:t xml:space="preserve"> и соединительнотканной </w:t>
      </w:r>
      <w:r>
        <w:rPr>
          <w:sz w:val="28"/>
        </w:rPr>
        <w:t>(</w:t>
      </w:r>
      <w:r w:rsidRPr="00A448C5">
        <w:rPr>
          <w:sz w:val="28"/>
        </w:rPr>
        <w:t>дерма</w:t>
      </w:r>
      <w:r>
        <w:rPr>
          <w:sz w:val="28"/>
        </w:rPr>
        <w:t>)</w:t>
      </w:r>
      <w:r w:rsidRPr="00A448C5">
        <w:rPr>
          <w:sz w:val="28"/>
        </w:rPr>
        <w:t xml:space="preserve">. С подлежащими тканями организма кожа соединяется слоем подкожной клетчатки </w:t>
      </w:r>
      <w:r>
        <w:rPr>
          <w:sz w:val="28"/>
        </w:rPr>
        <w:t>(</w:t>
      </w:r>
      <w:r w:rsidRPr="00A448C5">
        <w:rPr>
          <w:sz w:val="28"/>
        </w:rPr>
        <w:t>см. рисунок</w:t>
      </w:r>
      <w:r>
        <w:rPr>
          <w:sz w:val="28"/>
        </w:rPr>
        <w:t>)</w:t>
      </w:r>
      <w:r w:rsidRPr="00A448C5">
        <w:rPr>
          <w:sz w:val="28"/>
        </w:rPr>
        <w:t>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Эпидермис представлен многослойным плоским ороговевающим эпителием. Толщина его колеблется от 0,03 до 1,5 мм и более. Он состоит из многих десятков слоев клеток, которые объединены в 5 основных слоев : базальный, шиповатый, зернистый, блестящий и роговой.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Дерма или собственно кожа, имеет толщину от 0,5 до 5 мм. Дерма делится на два слоя- сосочковый и сетчатый, которые не имеют между собой четкой границы.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Окраска кожи зависит от степени кровенаполнения и глубины залегания кожных сосудов, содержания пигмента, толщины и прозрачности кожи. У здоровых людей кожа бледно-розового цвета. При патологии она может быть различной. Рассмотрим пигментный обмен кожи в норме.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>Кожный пигмент</w:t>
      </w:r>
      <w:r w:rsidRPr="00A448C5">
        <w:rPr>
          <w:sz w:val="28"/>
        </w:rPr>
        <w:t>, за очень небольшим исключением, имеется у всех людей. Он находится как в эпидермисе, так и в дерме. Люди или животные, организм которых лишен пигмента, называются альбиносами. Кожный пигмент относится к группе меланинов. Образуется меланин при окислении аминокислоты тирозина под влиянием фермента тирозиназщы и ДОФА-оксидазы. Меланин обладает высокой ультрафиолетовой абсорбцией, поэтому он защищает организм от повреждающего действия ультрафиолетовой радиации. Распределение пигмента в коже неравномерно: сильнее пигментирована кожа лица, шеи, спины, слабее- живота, ладоней и подошвы. Количество пигмента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в эпидермисе может меняться в зависимости как от внешних, так и от внутренних факторов. Например, резко возрастает оно при длительном облучении кожи солнечными лучами, в результате чего у лич со светлой кожей образуется загар и могут появиться веснушки. Пигментные пятна на коже часто появляются во время беременности вследствии гормональных изменений, наступающих в организме в период.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Пигментный обмен в коже тесно связан с содержанием в ней витаминов </w:t>
      </w:r>
      <w:r>
        <w:rPr>
          <w:sz w:val="28"/>
        </w:rPr>
        <w:t>(</w:t>
      </w:r>
      <w:r w:rsidRPr="00A448C5">
        <w:rPr>
          <w:sz w:val="28"/>
        </w:rPr>
        <w:t>А, С, РР</w:t>
      </w:r>
      <w:r>
        <w:rPr>
          <w:sz w:val="28"/>
        </w:rPr>
        <w:t>)</w:t>
      </w:r>
      <w:r w:rsidRPr="00A448C5">
        <w:rPr>
          <w:sz w:val="28"/>
        </w:rPr>
        <w:t>, а также зависит от эндокринных факторов г</w:t>
      </w:r>
      <w:r>
        <w:rPr>
          <w:sz w:val="28"/>
        </w:rPr>
        <w:t>о</w:t>
      </w:r>
      <w:r w:rsidRPr="00A448C5">
        <w:rPr>
          <w:sz w:val="28"/>
        </w:rPr>
        <w:t>рмонов гипофиза, надпочечников, щитовидной железы. При многих заболеваниях отмечаетса изменение пигментного обмена. Наибольшую долю этих заболеваний составляют патология эндокринной системы.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Многие эндокринные заболевания сопровождаются поражением кожи. Если это поражение вызвано исходным гормонально-метаболическим дефектом </w:t>
      </w:r>
      <w:r>
        <w:rPr>
          <w:sz w:val="28"/>
        </w:rPr>
        <w:t>(</w:t>
      </w:r>
      <w:r w:rsidRPr="00A448C5">
        <w:rPr>
          <w:sz w:val="28"/>
        </w:rPr>
        <w:t>например, дефицитом гормона</w:t>
      </w:r>
      <w:r>
        <w:rPr>
          <w:sz w:val="28"/>
        </w:rPr>
        <w:t>)</w:t>
      </w:r>
      <w:r w:rsidRPr="00A448C5">
        <w:rPr>
          <w:sz w:val="28"/>
        </w:rPr>
        <w:t xml:space="preserve">, оно проявляется уже на ранних стадиях заболевания и служит важным диагностическим признаком. Поражение кожи обусловленное вторичными метаболическими нарушениями, развивается как осложнение основного заболевания. Наконец, поражение кожи может быть осложнением лечения основного заболевания </w:t>
      </w:r>
      <w:r>
        <w:rPr>
          <w:sz w:val="28"/>
        </w:rPr>
        <w:t>(</w:t>
      </w:r>
      <w:r w:rsidRPr="00A448C5">
        <w:rPr>
          <w:sz w:val="28"/>
        </w:rPr>
        <w:t>например, инъекции инсулина вызывают липоатрофию у больных ИЗСД</w:t>
      </w:r>
      <w:r>
        <w:rPr>
          <w:sz w:val="28"/>
        </w:rPr>
        <w:t>)</w:t>
      </w:r>
      <w:r w:rsidRPr="00A448C5">
        <w:rPr>
          <w:sz w:val="28"/>
        </w:rPr>
        <w:t>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Рассмотрим клинику ряда заболеваний, при которых происходит потемнение кожных покровов.</w:t>
      </w: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A448C5">
        <w:rPr>
          <w:sz w:val="28"/>
        </w:rPr>
        <w:br w:type="page"/>
      </w:r>
      <w:r w:rsidRPr="00A448C5">
        <w:rPr>
          <w:b/>
          <w:sz w:val="28"/>
        </w:rPr>
        <w:t>ЩИТОВИДНАЯ ЖЕЛЕЗА</w:t>
      </w: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A448C5">
        <w:rPr>
          <w:b/>
          <w:sz w:val="28"/>
        </w:rPr>
        <w:t>Тиреотоксикоз</w:t>
      </w: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Тиреотоксикоз- это синдром, обусловленный действием избытка Т</w:t>
      </w:r>
      <w:r w:rsidRPr="00A448C5">
        <w:rPr>
          <w:sz w:val="28"/>
          <w:vertAlign w:val="subscript"/>
        </w:rPr>
        <w:t>3</w:t>
      </w:r>
      <w:r w:rsidRPr="00A448C5">
        <w:rPr>
          <w:sz w:val="28"/>
        </w:rPr>
        <w:t>, Т</w:t>
      </w:r>
      <w:r w:rsidRPr="00A448C5">
        <w:rPr>
          <w:sz w:val="28"/>
          <w:vertAlign w:val="subscript"/>
        </w:rPr>
        <w:t>4</w:t>
      </w:r>
      <w:r w:rsidRPr="00A448C5">
        <w:rPr>
          <w:sz w:val="28"/>
        </w:rPr>
        <w:t xml:space="preserve"> на ткани-мишени. В некоторых руководствах этот синдром называют гипертиреозом, а термином “тиреотоксикоз“ называют состояние, обусловленное избытком экзогенных тиреоидных гормонов.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Классификация причин тиреотоксикоза представлена в таблице № 1. </w:t>
      </w:r>
    </w:p>
    <w:p w:rsidR="00A448C5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Особенности разных форм тиреотоксикоза: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Диффузный токсический зоб - самая частая причина тиреотоксикоза. Многоузловой токсический зоб сопровождается тиреотоксикозом преимущественно у больных среднего и пожилого возраста.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Неорганические (например, йодит калия) или органические соединения йода (например, амиодарон) могут вызвать преходящий тиреотоксикоз у пожилых людей с леченным многоузловым токсическим зобом. В таких случаях тиреотоксикоз обычно длится несколько месяцев. 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Вызванный йодом тиреотоксикоз (феномен йод-Базедов) встречается менее чем у одного процента больных с многоузловым нетоксическим зобом и гипотиреозом, проживающих в районах эндемии зоба и получающих йодные добавки.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Токсические аденомы щитовидной железы, как правило, не сопровождаются тиреотоксикозом, но если размеры превышают 3 см, вероятность тиретоксикоза увеличивается.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ТТГ</w:t>
      </w:r>
      <w:r>
        <w:rPr>
          <w:sz w:val="28"/>
        </w:rPr>
        <w:t xml:space="preserve"> </w:t>
      </w:r>
      <w:r w:rsidRPr="00A448C5">
        <w:rPr>
          <w:sz w:val="28"/>
        </w:rPr>
        <w:t>- секретирующая аденома гипофиза встречается очень редко и обычно имеет крупные размеры; она может сочетаться с другими гипофизарными опухолями, в частности с СТГ- секретирующими. Уровень ТТГ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в сыворотке при этом повышен и после стимуляции тиролиберином возрастает незначительно.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Избирательная резистентность гипофиза к тиреоидным гормонам характеризуется нормальным уровнем ТТГ, значительным повышением уровней Т</w:t>
      </w:r>
      <w:r w:rsidRPr="00A448C5">
        <w:rPr>
          <w:sz w:val="28"/>
          <w:vertAlign w:val="subscript"/>
        </w:rPr>
        <w:t>3</w:t>
      </w:r>
      <w:r w:rsidRPr="00A448C5">
        <w:rPr>
          <w:sz w:val="28"/>
        </w:rPr>
        <w:t xml:space="preserve"> и Т</w:t>
      </w:r>
      <w:r w:rsidRPr="00A448C5">
        <w:rPr>
          <w:sz w:val="28"/>
          <w:vertAlign w:val="subscript"/>
        </w:rPr>
        <w:t>4</w:t>
      </w:r>
      <w:r w:rsidRPr="00A448C5">
        <w:rPr>
          <w:sz w:val="28"/>
        </w:rPr>
        <w:t xml:space="preserve"> и тиреотоксикозом (поскольку чувствительность других тканей-мишеней к тиреоидным гормонам не нарушена). Уровень ТТГ не снижается, поскольку супрессивное действие Т</w:t>
      </w:r>
      <w:r w:rsidRPr="00A448C5">
        <w:rPr>
          <w:sz w:val="28"/>
          <w:vertAlign w:val="subscript"/>
        </w:rPr>
        <w:t>3</w:t>
      </w:r>
      <w:r w:rsidRPr="00A448C5">
        <w:rPr>
          <w:sz w:val="28"/>
        </w:rPr>
        <w:t xml:space="preserve"> и Т</w:t>
      </w:r>
      <w:r w:rsidRPr="00A448C5">
        <w:rPr>
          <w:sz w:val="28"/>
          <w:vertAlign w:val="subscript"/>
        </w:rPr>
        <w:t>4</w:t>
      </w:r>
      <w:r w:rsidRPr="00A448C5">
        <w:rPr>
          <w:sz w:val="28"/>
        </w:rPr>
        <w:t xml:space="preserve"> на гипофиз отсутствует. Опухоль гипофиза у таких больных не визуализируется. 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Пузырный занос и хориокарцинома секретирует </w:t>
      </w:r>
      <w:r w:rsidR="00521E4A" w:rsidRPr="00A448C5">
        <w:rPr>
          <w:sz w:val="28"/>
        </w:rPr>
        <w:t>больш</w:t>
      </w:r>
      <w:r w:rsidR="00521E4A">
        <w:rPr>
          <w:sz w:val="28"/>
        </w:rPr>
        <w:t>ое</w:t>
      </w:r>
      <w:r w:rsidRPr="00A448C5">
        <w:rPr>
          <w:sz w:val="28"/>
        </w:rPr>
        <w:t xml:space="preserve"> количество хорионического гонадотропина. Этот гормон- слабый стимулятор рецепторов ТТГ на тиреоцитах. Когда концентрация ХГ превышает 300000 ед/л, может </w:t>
      </w:r>
      <w:r w:rsidR="00521E4A" w:rsidRPr="00A448C5">
        <w:rPr>
          <w:sz w:val="28"/>
        </w:rPr>
        <w:t>возникнуть</w:t>
      </w:r>
      <w:r w:rsidRPr="00A448C5">
        <w:rPr>
          <w:sz w:val="28"/>
        </w:rPr>
        <w:t xml:space="preserve"> тиреотоксикоз. Удаление пузырного заноса или химиотерапия хориокарциномы устраняют тиреотоксикоз. Уровень ХГ может значительно повышаться и при токсикозе беременных и служит причиной тиреотоксикоза. 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Передозировка тиреоидных гормонов</w:t>
      </w:r>
      <w:r w:rsidR="00521E4A">
        <w:rPr>
          <w:sz w:val="28"/>
        </w:rPr>
        <w:t xml:space="preserve"> </w:t>
      </w:r>
      <w:r w:rsidRPr="00A448C5">
        <w:rPr>
          <w:sz w:val="28"/>
        </w:rPr>
        <w:t>- частая причина тиреотоксикоза. Нередко врач назначает чрезмерные дозы гормонов; а в друг</w:t>
      </w:r>
      <w:r w:rsidR="00521E4A">
        <w:rPr>
          <w:sz w:val="28"/>
        </w:rPr>
        <w:t>и</w:t>
      </w:r>
      <w:r w:rsidRPr="00A448C5">
        <w:rPr>
          <w:sz w:val="28"/>
        </w:rPr>
        <w:t>х случаях больные тайком принимают излишнее количество гормонов, иногда с целью похудеть. При передозировке тиреоидных гормонов размеры щитовидной железы нормальные или уменьшенные, поглощение радиоактивного йода щитовидной железой и содержание тиреоглобулина в сыворотке снижено.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Таблица № 1: Причины тиреотоксикоза.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977"/>
      </w:tblGrid>
      <w:tr w:rsidR="00A045F3" w:rsidRPr="00A448C5" w:rsidTr="00A448C5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Причина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 xml:space="preserve">Стимулятор секреции тиреоидных гормонов. </w:t>
            </w:r>
          </w:p>
        </w:tc>
      </w:tr>
      <w:tr w:rsidR="00A045F3" w:rsidRPr="00A448C5" w:rsidTr="00A448C5">
        <w:tc>
          <w:tcPr>
            <w:tcW w:w="4536" w:type="dxa"/>
            <w:tcBorders>
              <w:top w:val="single" w:sz="6" w:space="0" w:color="auto"/>
              <w:left w:val="single" w:sz="6" w:space="0" w:color="auto"/>
            </w:tcBorders>
          </w:tcPr>
          <w:p w:rsidR="00A045F3" w:rsidRPr="00A448C5" w:rsidRDefault="00A448C5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 xml:space="preserve"> </w:t>
            </w:r>
            <w:r w:rsidR="00A045F3" w:rsidRPr="00A448C5">
              <w:rPr>
                <w:sz w:val="20"/>
              </w:rPr>
              <w:t>1</w:t>
            </w:r>
            <w:r w:rsidRPr="00A448C5">
              <w:rPr>
                <w:sz w:val="20"/>
              </w:rPr>
              <w:t xml:space="preserve"> </w:t>
            </w:r>
            <w:r w:rsidR="00A045F3" w:rsidRPr="00A448C5">
              <w:rPr>
                <w:sz w:val="20"/>
              </w:rPr>
              <w:t xml:space="preserve">Гиперфункция щитовидной 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железы</w:t>
            </w:r>
          </w:p>
        </w:tc>
      </w:tr>
      <w:tr w:rsidR="00A045F3" w:rsidRPr="00A448C5" w:rsidTr="00A448C5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а)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Диффузный токсический зоб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б)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Многоузловой токсический зоб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в) Токсическая аденорма щитовидной железы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г)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ТТГ-секретирующая аденома гипофиза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д)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Избирательная резистентность гипофиза к тиреоидным гармонам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е)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Пузырный занос и хориокацинома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ж)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Токсикоз беременных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Тиреостимулирующие аутоантитела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Тиреостимулирующие аутоантитела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 xml:space="preserve">Нет </w:t>
            </w:r>
            <w:r>
              <w:rPr>
                <w:sz w:val="20"/>
              </w:rPr>
              <w:t>(</w:t>
            </w:r>
            <w:r w:rsidRPr="00A448C5">
              <w:rPr>
                <w:sz w:val="20"/>
              </w:rPr>
              <w:t>автономная секреция</w:t>
            </w:r>
            <w:r>
              <w:rPr>
                <w:sz w:val="20"/>
              </w:rPr>
              <w:t>)</w:t>
            </w:r>
          </w:p>
          <w:p w:rsidR="00521E4A" w:rsidRDefault="00521E4A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ТТГ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ТТГ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ХГ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ХГ</w:t>
            </w:r>
          </w:p>
        </w:tc>
      </w:tr>
      <w:tr w:rsidR="00A045F3" w:rsidRPr="00A448C5" w:rsidTr="00A448C5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48C5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2 Разрушение щитовидной железы (пассивное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ных гормонов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в кровь).</w:t>
            </w:r>
            <w:r w:rsidR="00A448C5" w:rsidRPr="00A448C5"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поступление тиреоид-</w:t>
            </w:r>
          </w:p>
        </w:tc>
      </w:tr>
      <w:tr w:rsidR="00A045F3" w:rsidRPr="00A448C5" w:rsidTr="00A448C5"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з)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 xml:space="preserve">Подострый лимфоцитарный тиреоидит 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и)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Подострый гранулематозный тиреоидит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к)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Подострый лимфоцитарный тиреоидит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л)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Хронический лимфоцитарный тиреоидит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Нет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Нет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Нет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Нет</w:t>
            </w:r>
          </w:p>
        </w:tc>
      </w:tr>
      <w:tr w:rsidR="00A045F3" w:rsidRPr="00A448C5" w:rsidTr="00A448C5">
        <w:tc>
          <w:tcPr>
            <w:tcW w:w="4536" w:type="dxa"/>
            <w:tcBorders>
              <w:top w:val="single" w:sz="6" w:space="0" w:color="auto"/>
              <w:left w:val="single" w:sz="6" w:space="0" w:color="auto"/>
            </w:tcBorders>
          </w:tcPr>
          <w:p w:rsidR="00A045F3" w:rsidRPr="00A448C5" w:rsidRDefault="00A448C5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 xml:space="preserve"> </w:t>
            </w:r>
            <w:r w:rsidR="00A045F3" w:rsidRPr="00A448C5">
              <w:rPr>
                <w:sz w:val="20"/>
              </w:rPr>
              <w:t>Прочие</w:t>
            </w:r>
          </w:p>
        </w:tc>
        <w:tc>
          <w:tcPr>
            <w:tcW w:w="2977" w:type="dxa"/>
            <w:tcBorders>
              <w:top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</w:tr>
      <w:tr w:rsidR="00A045F3" w:rsidRPr="00A448C5" w:rsidTr="00A448C5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м)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Передозировка тиреоидных гормонов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Т3 и Т4 - секретирующая тератома яичника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о)</w:t>
            </w:r>
            <w:r w:rsidR="00A448C5" w:rsidRPr="00A448C5">
              <w:rPr>
                <w:sz w:val="20"/>
              </w:rPr>
              <w:t xml:space="preserve"> </w:t>
            </w:r>
            <w:r w:rsidRPr="00A448C5">
              <w:rPr>
                <w:sz w:val="20"/>
              </w:rPr>
              <w:t>Метастазы рака щитовидной железы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Нет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Нет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Нет</w:t>
            </w:r>
          </w:p>
        </w:tc>
      </w:tr>
    </w:tbl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Клиническая картина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>Кожа</w:t>
      </w:r>
      <w:r w:rsidRPr="00A448C5">
        <w:rPr>
          <w:sz w:val="28"/>
        </w:rPr>
        <w:t xml:space="preserve"> при тиреотоксикозе горячая, гладкая, бархатистая и влажная от пота. Лицо и ладони красные. В тяжелых случаях развивается гиперпигментация.</w:t>
      </w:r>
    </w:p>
    <w:p w:rsidR="00A045F3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>Волосы и ногти.</w:t>
      </w:r>
      <w:r w:rsidRPr="00A448C5">
        <w:rPr>
          <w:sz w:val="28"/>
        </w:rPr>
        <w:t xml:space="preserve"> Волосы становятся тонкими мягкими и жирными. Нередко бывает диффузная аллопиция. Характерен онихолиз</w:t>
      </w:r>
      <w:r w:rsidR="00521E4A">
        <w:rPr>
          <w:sz w:val="28"/>
        </w:rPr>
        <w:t xml:space="preserve"> </w:t>
      </w:r>
      <w:r w:rsidRPr="00A448C5">
        <w:rPr>
          <w:sz w:val="28"/>
        </w:rPr>
        <w:t xml:space="preserve">- отделение ногтя от ногтевого ложа, который начинается с безымянного пальца </w:t>
      </w:r>
      <w:r>
        <w:rPr>
          <w:sz w:val="28"/>
        </w:rPr>
        <w:t>(</w:t>
      </w:r>
      <w:r w:rsidRPr="00A448C5">
        <w:rPr>
          <w:sz w:val="28"/>
        </w:rPr>
        <w:t>ноготь Пламмера</w:t>
      </w:r>
      <w:r>
        <w:rPr>
          <w:sz w:val="28"/>
        </w:rPr>
        <w:t>)</w:t>
      </w:r>
      <w:r w:rsidRPr="00A448C5">
        <w:rPr>
          <w:sz w:val="28"/>
        </w:rPr>
        <w:t>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3.</w:t>
      </w:r>
      <w:r w:rsidR="00521E4A">
        <w:rPr>
          <w:sz w:val="28"/>
        </w:rPr>
        <w:t xml:space="preserve"> </w:t>
      </w:r>
      <w:r w:rsidRPr="00A448C5">
        <w:rPr>
          <w:b/>
          <w:sz w:val="28"/>
        </w:rPr>
        <w:t>Локальные слизистые отеки</w:t>
      </w:r>
      <w:r w:rsidRPr="00A448C5">
        <w:rPr>
          <w:sz w:val="28"/>
        </w:rPr>
        <w:t xml:space="preserve"> развиваются из-за отложения в коже кислых гликозаминогликанов, в частности гиалуроновой кислоты. Очаги поражения имеют вид желтых ил красновато-бурых бляшек; типичная локализация - передняя поверхность голеней </w:t>
      </w:r>
      <w:r>
        <w:rPr>
          <w:sz w:val="28"/>
        </w:rPr>
        <w:t>(</w:t>
      </w:r>
      <w:r w:rsidRPr="00A448C5">
        <w:rPr>
          <w:sz w:val="28"/>
        </w:rPr>
        <w:t>претибиальная микседема</w:t>
      </w:r>
      <w:r>
        <w:rPr>
          <w:sz w:val="28"/>
        </w:rPr>
        <w:t>)</w:t>
      </w:r>
      <w:r w:rsidRPr="00A448C5">
        <w:rPr>
          <w:sz w:val="28"/>
        </w:rPr>
        <w:t xml:space="preserve">. Кожа напоминает кожуру апельсина, покрыта грубыми волосами; устья волосяных фолликулов расширены. Бляшки холодные на </w:t>
      </w:r>
      <w:r w:rsidR="00521E4A" w:rsidRPr="00A448C5">
        <w:rPr>
          <w:sz w:val="28"/>
        </w:rPr>
        <w:t>ощупь</w:t>
      </w:r>
      <w:r w:rsidRPr="00A448C5">
        <w:rPr>
          <w:sz w:val="28"/>
        </w:rPr>
        <w:t>, безболезненные; при надавливании на них ямки не остаются. Возможен зуд. Претибиальная микседема- характерный признак диффузного токсического зоба. Она может наблюдаться даже у леченных больных с гипо- или эутиреозом. Для больных с претибиальной микседемой характерен высокий титр тиреостимулирующих аутоантител.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>Диагностика тиреотоксикоза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При подозрении на тиреотоксикоз обследование включает 2 этапа: подтверждение тиреотоксикоза </w:t>
      </w:r>
      <w:r>
        <w:rPr>
          <w:sz w:val="28"/>
        </w:rPr>
        <w:t>(</w:t>
      </w:r>
      <w:r w:rsidRPr="00A448C5">
        <w:rPr>
          <w:sz w:val="28"/>
        </w:rPr>
        <w:t>оценку функции щитовидной железы</w:t>
      </w:r>
      <w:r>
        <w:rPr>
          <w:sz w:val="28"/>
        </w:rPr>
        <w:t>)</w:t>
      </w:r>
      <w:r w:rsidRPr="00A448C5">
        <w:rPr>
          <w:sz w:val="28"/>
        </w:rPr>
        <w:t xml:space="preserve"> и выяснение его причины.</w:t>
      </w:r>
    </w:p>
    <w:p w:rsidR="00A448C5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А. </w:t>
      </w:r>
      <w:r w:rsidR="00521E4A" w:rsidRPr="00A448C5">
        <w:rPr>
          <w:sz w:val="28"/>
        </w:rPr>
        <w:t>Оценка</w:t>
      </w:r>
      <w:r w:rsidRPr="00A448C5">
        <w:rPr>
          <w:sz w:val="28"/>
        </w:rPr>
        <w:t xml:space="preserve"> функции щитовидной железы.</w:t>
      </w:r>
    </w:p>
    <w:p w:rsidR="00A448C5" w:rsidRPr="00A448C5" w:rsidRDefault="00A045F3" w:rsidP="00A448C5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Общий Т</w:t>
      </w:r>
      <w:r w:rsidRPr="00A448C5">
        <w:rPr>
          <w:sz w:val="28"/>
          <w:vertAlign w:val="subscript"/>
        </w:rPr>
        <w:t>4</w:t>
      </w:r>
      <w:r w:rsidRPr="00A448C5">
        <w:rPr>
          <w:sz w:val="28"/>
        </w:rPr>
        <w:t xml:space="preserve"> и свободный Т</w:t>
      </w:r>
      <w:r w:rsidRPr="00A448C5">
        <w:rPr>
          <w:sz w:val="28"/>
          <w:vertAlign w:val="subscript"/>
        </w:rPr>
        <w:t>4</w:t>
      </w:r>
      <w:r w:rsidRPr="00A448C5">
        <w:rPr>
          <w:sz w:val="28"/>
        </w:rPr>
        <w:t xml:space="preserve"> повышены.</w:t>
      </w:r>
    </w:p>
    <w:p w:rsidR="00A448C5" w:rsidRPr="00A448C5" w:rsidRDefault="00A045F3" w:rsidP="00A448C5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Общий Т</w:t>
      </w:r>
      <w:r w:rsidRPr="00A448C5">
        <w:rPr>
          <w:sz w:val="28"/>
          <w:vertAlign w:val="subscript"/>
        </w:rPr>
        <w:t>3</w:t>
      </w:r>
      <w:r w:rsidRPr="00A448C5">
        <w:rPr>
          <w:sz w:val="28"/>
        </w:rPr>
        <w:t xml:space="preserve"> и свободный Т</w:t>
      </w:r>
      <w:r w:rsidRPr="00A448C5">
        <w:rPr>
          <w:sz w:val="28"/>
          <w:vertAlign w:val="subscript"/>
        </w:rPr>
        <w:t>3</w:t>
      </w:r>
      <w:r w:rsidRPr="00A448C5">
        <w:rPr>
          <w:sz w:val="28"/>
        </w:rPr>
        <w:t xml:space="preserve"> повышены.</w:t>
      </w:r>
    </w:p>
    <w:p w:rsidR="00A448C5" w:rsidRPr="00A448C5" w:rsidRDefault="00A045F3" w:rsidP="00A448C5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Базальный уровень ТТГ сильно снижен или ТТГ не определяется.</w:t>
      </w:r>
    </w:p>
    <w:p w:rsidR="00A045F3" w:rsidRPr="00A448C5" w:rsidRDefault="00A045F3" w:rsidP="00A448C5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Поглощение радиоактивного йода щитовидной железой за 4, 6, 24 часа у больных с усиленной секрецией тиреоидных гормонов увеличены, а когда гормоны пассивно поступают из ткани железы в кровь - снижено.</w:t>
      </w:r>
    </w:p>
    <w:p w:rsidR="00A448C5" w:rsidRPr="00A448C5" w:rsidRDefault="00A045F3" w:rsidP="00A448C5">
      <w:pPr>
        <w:widowControl w:val="0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Супрессивные пробы Т</w:t>
      </w:r>
      <w:r w:rsidRPr="00A448C5">
        <w:rPr>
          <w:sz w:val="28"/>
          <w:vertAlign w:val="subscript"/>
        </w:rPr>
        <w:t>3</w:t>
      </w:r>
      <w:r w:rsidRPr="00A448C5">
        <w:rPr>
          <w:sz w:val="28"/>
        </w:rPr>
        <w:t xml:space="preserve"> и Т</w:t>
      </w:r>
      <w:r w:rsidRPr="00A448C5">
        <w:rPr>
          <w:sz w:val="28"/>
          <w:vertAlign w:val="subscript"/>
        </w:rPr>
        <w:t>4</w:t>
      </w:r>
      <w:r w:rsidRPr="00A448C5">
        <w:rPr>
          <w:sz w:val="28"/>
        </w:rPr>
        <w:t xml:space="preserve"> 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Б. Установление причины тиреотоксикоза.</w:t>
      </w:r>
    </w:p>
    <w:p w:rsidR="00A045F3" w:rsidRPr="00A448C5" w:rsidRDefault="00A045F3" w:rsidP="00A448C5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Тиреостимулирующие аутоантитела- маркеры диффузного токсического зоба.</w:t>
      </w:r>
    </w:p>
    <w:p w:rsidR="00A045F3" w:rsidRPr="00A448C5" w:rsidRDefault="00A045F3" w:rsidP="00A448C5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Аутоантитела к ТТГ</w:t>
      </w:r>
    </w:p>
    <w:p w:rsidR="00A045F3" w:rsidRPr="00A448C5" w:rsidRDefault="00A045F3" w:rsidP="00A448C5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Антитела к микросомальным антигенам и к йодидпероксидазе.</w:t>
      </w:r>
    </w:p>
    <w:p w:rsidR="00A045F3" w:rsidRPr="00A448C5" w:rsidRDefault="00A045F3" w:rsidP="00A448C5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Сцинтиграфия щитовидной железы.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  <w:t>НАДПОЧЕЧНИКИ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A448C5">
        <w:rPr>
          <w:b/>
          <w:sz w:val="28"/>
        </w:rPr>
        <w:t xml:space="preserve">Первичная </w:t>
      </w:r>
      <w:r w:rsidR="00A448C5">
        <w:rPr>
          <w:b/>
          <w:sz w:val="28"/>
        </w:rPr>
        <w:t>надпочечниковая недостаточность</w:t>
      </w: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Болезнь Аддисона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 xml:space="preserve">- это следствие первичного заболевания надпочечников, при котором разрушается более 90 % клеток коркового вещества, </w:t>
      </w:r>
      <w:r w:rsidR="00521E4A" w:rsidRPr="00A448C5">
        <w:rPr>
          <w:sz w:val="28"/>
        </w:rPr>
        <w:t>секретирующих</w:t>
      </w:r>
      <w:r w:rsidRPr="00A448C5">
        <w:rPr>
          <w:sz w:val="28"/>
        </w:rPr>
        <w:t xml:space="preserve"> кортикостероиды. 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Надпочечниковая недостаточность может быть острой и хронической.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В последнее время самой распространенной причиной первичной надпочечниковой недостаточности является аутоиммунное поражение коры надпочечников </w:t>
      </w:r>
      <w:r>
        <w:rPr>
          <w:sz w:val="28"/>
        </w:rPr>
        <w:t>(</w:t>
      </w:r>
      <w:r w:rsidRPr="00A448C5">
        <w:rPr>
          <w:sz w:val="28"/>
        </w:rPr>
        <w:t>примерно 80 % случаев</w:t>
      </w:r>
      <w:r>
        <w:rPr>
          <w:sz w:val="28"/>
        </w:rPr>
        <w:t>)</w:t>
      </w:r>
      <w:r w:rsidRPr="00A448C5">
        <w:rPr>
          <w:sz w:val="28"/>
        </w:rPr>
        <w:t>. Аутоиммунное поражение надпочечников может сопровождаться другими аутоиммунными эндокринными заболеваниями. В первой половине ХХ века ведущей причиной надпочечниковой недостаточности был туберкулез. В наши дни только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10 - 20 % случаев надпочечниковой недостаточности обусдовлено туберкулезным поражением надпочечников.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Причины надпочечниковой недостаточности следующие :</w:t>
      </w:r>
    </w:p>
    <w:p w:rsidR="00A045F3" w:rsidRPr="00A448C5" w:rsidRDefault="00521E4A" w:rsidP="00A448C5">
      <w:pPr>
        <w:widowControl w:val="0"/>
        <w:numPr>
          <w:ilvl w:val="0"/>
          <w:numId w:val="5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 xml:space="preserve">Идиопатическая атрофия надпочечников </w:t>
      </w:r>
      <w:r w:rsidR="00A045F3">
        <w:rPr>
          <w:sz w:val="28"/>
        </w:rPr>
        <w:t>(</w:t>
      </w:r>
      <w:r w:rsidR="00A045F3" w:rsidRPr="00A448C5">
        <w:rPr>
          <w:sz w:val="28"/>
        </w:rPr>
        <w:t>аутоиммуннео поражение)</w:t>
      </w:r>
    </w:p>
    <w:p w:rsidR="00A045F3" w:rsidRPr="00A448C5" w:rsidRDefault="00521E4A" w:rsidP="00A448C5">
      <w:pPr>
        <w:widowControl w:val="0"/>
        <w:numPr>
          <w:ilvl w:val="0"/>
          <w:numId w:val="5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Гранулематозы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туберкулез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гистоплазмоз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саркоидоз</w:t>
      </w:r>
    </w:p>
    <w:p w:rsidR="00A045F3" w:rsidRPr="00A448C5" w:rsidRDefault="00521E4A" w:rsidP="00A448C5">
      <w:pPr>
        <w:widowControl w:val="0"/>
        <w:numPr>
          <w:ilvl w:val="0"/>
          <w:numId w:val="5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Опухоль надпочечников или метастазы в надпочечники.</w:t>
      </w:r>
    </w:p>
    <w:p w:rsidR="00A045F3" w:rsidRPr="00A448C5" w:rsidRDefault="00521E4A" w:rsidP="00A448C5">
      <w:pPr>
        <w:widowControl w:val="0"/>
        <w:numPr>
          <w:ilvl w:val="0"/>
          <w:numId w:val="5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Гемохроматоз.</w:t>
      </w:r>
    </w:p>
    <w:p w:rsidR="00A045F3" w:rsidRPr="00A448C5" w:rsidRDefault="00521E4A" w:rsidP="00A448C5">
      <w:pPr>
        <w:widowControl w:val="0"/>
        <w:numPr>
          <w:ilvl w:val="0"/>
          <w:numId w:val="5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Амилоидоз.</w:t>
      </w:r>
    </w:p>
    <w:p w:rsidR="00A045F3" w:rsidRPr="00A448C5" w:rsidRDefault="00521E4A" w:rsidP="00A448C5">
      <w:pPr>
        <w:widowControl w:val="0"/>
        <w:numPr>
          <w:ilvl w:val="0"/>
          <w:numId w:val="5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Двусторонняя адреналэктомия.</w:t>
      </w:r>
    </w:p>
    <w:p w:rsidR="00A045F3" w:rsidRPr="00A448C5" w:rsidRDefault="00521E4A" w:rsidP="00A448C5">
      <w:pPr>
        <w:widowControl w:val="0"/>
        <w:numPr>
          <w:ilvl w:val="0"/>
          <w:numId w:val="5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Новообразования ЦНС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опухоль гипофиза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краниофарингиома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опухоль третьего желудочка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>Клиническая картина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Симптомы Аддисоновой болезни вытекают из данных физиологического действия гормонов коры надпочечников, продукция которых при данной болезни в большей или меньшей степени уменьшена.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Гормоны коры надпочечников по их функциям делятся на три группы: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094"/>
        <w:gridCol w:w="2884"/>
      </w:tblGrid>
      <w:tr w:rsidR="00A045F3" w:rsidRPr="00A448C5" w:rsidTr="00A448C5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</w:tc>
        <w:tc>
          <w:tcPr>
            <w:tcW w:w="30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Главнейшие представители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Действие</w:t>
            </w:r>
          </w:p>
        </w:tc>
      </w:tr>
      <w:tr w:rsidR="00A045F3" w:rsidRPr="00A448C5" w:rsidTr="00A448C5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Минералокортикоиды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Дезоксикортикостерон, альдостерон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Задерживает натрий, содействует выделению калия</w:t>
            </w:r>
          </w:p>
        </w:tc>
      </w:tr>
      <w:tr w:rsidR="00A045F3" w:rsidRPr="00A448C5" w:rsidTr="00A448C5"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Глюкокортикоиды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Кортизол 70 %, кортикостерон 15 %, а также синтетический, применяемый в терапии стероид кортизон и преднизон, и преднизолон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Содействуют глюконеогенезу, катаболическое или антианаболическое действие, недостаточный синтез белка, лимфолитическое действие, эозинопения, противовоспалительное, диуретическое, незначительное минералокортикоидное действие</w:t>
            </w:r>
          </w:p>
        </w:tc>
      </w:tr>
      <w:tr w:rsidR="00A045F3" w:rsidRPr="00A448C5" w:rsidTr="00A448C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Андрогены</w:t>
            </w:r>
          </w:p>
        </w:tc>
        <w:tc>
          <w:tcPr>
            <w:tcW w:w="3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Андростендион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Андростерон</w:t>
            </w:r>
          </w:p>
        </w:tc>
        <w:tc>
          <w:tcPr>
            <w:tcW w:w="2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Оволосение на половых органах</w:t>
            </w:r>
          </w:p>
          <w:p w:rsidR="00A045F3" w:rsidRPr="00A448C5" w:rsidRDefault="00A045F3" w:rsidP="00A448C5">
            <w:pPr>
              <w:widowControl w:val="0"/>
              <w:spacing w:line="360" w:lineRule="auto"/>
              <w:outlineLvl w:val="0"/>
              <w:rPr>
                <w:sz w:val="20"/>
              </w:rPr>
            </w:pPr>
            <w:r w:rsidRPr="00A448C5">
              <w:rPr>
                <w:sz w:val="20"/>
              </w:rPr>
              <w:t>Анаболическое действие</w:t>
            </w:r>
          </w:p>
        </w:tc>
      </w:tr>
    </w:tbl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Пигментации способствует выделяемый гипофизом, стимулирующий меланофоры гормон, который тесно связан с продукцией АКТГ. При Аддисоновой болезни продукция этого гормона,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 xml:space="preserve">возбуждающего надпочечники, повышено. 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Клиническая картина аддисоновой болезни складывается из симптомов, патогенетически обусловленных поражением коры надпочечников. Эти симптомы разнообразны и многочисленны, и в зависимости от тяжести, продолжительности, этиологической формы заболевания, а также индивидуальных особенностей организма каждый из них может быть выражен в различной степени.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 xml:space="preserve">Патогенез </w:t>
      </w:r>
      <w:r w:rsidRPr="00A448C5">
        <w:rPr>
          <w:sz w:val="28"/>
        </w:rPr>
        <w:t xml:space="preserve">отдельных клинических проявлений аддисоновой болезни связан с преобладанием функциональных нарушений в той или иной зоне коры надпочечников. Разрушение деструктивным процессом клубочкового слоя коры надпочечников приводит к уменьшению образования альдостерона- гормона, обладающим действием на водно-солевой обмен. Клинически выпадение или резкое уменьшение </w:t>
      </w:r>
      <w:r w:rsidR="00521E4A" w:rsidRPr="00A448C5">
        <w:rPr>
          <w:sz w:val="28"/>
        </w:rPr>
        <w:t>продукции</w:t>
      </w:r>
      <w:r w:rsidRPr="00A448C5">
        <w:rPr>
          <w:sz w:val="28"/>
        </w:rPr>
        <w:t xml:space="preserve"> альдостерона выражается в появлении признаков обезвоживания организма : снижение АД, исхудание и нарушение со стороны желудочно-кишечного тракта. При этом в организме накапливаются в избытке ионы калия и происходит усиленное выведение ионов натрия и хлоридов. Поражение пучковой зоны коры вызывает уменьшение продукции гидрокортизона и связанное с этим уменьшение процессов глюконеогенеза. Клинически при этом наблюдается снижение уровня сахара крови, уплощение сахарной кривой, адинамия, уменьшение размеров сердца, изменение со стороны ЭКГ и ЭЭГ. Имеющая место при аддисоновой болезни меланодермия связана не только с поражением пучковой, но главным образом и клубочковой зоны. Поскольку при первичной надпочечниковой недостаточности гипофиз не повреждается, дефицит кортизола вызывает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 xml:space="preserve">компенсаторное повышение секреции АКТГ и МСГ, что приводит к гиперпигментации кожи и слизистых. Гиперпигментация чаще всего заметна вокруг губ и на слизистой щек, а также на открытых или подвергающихся трению частях тела. При аутоиммунном поражении надпочечников могут одновременно наблюдаться множественные веснушки, разлитая гиперпигментация и витилиго. Секркция андрогенов также снижается, что приводит к уменьшению подмышечного и лобкового оволосения. 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Течение аддисоновой болезни, обусловленной вследствие туберкулеза, сифилиса, как правило, является более тяжелым и сопровождается более выраженной пигментацией кожных покровов. Это объясняется разрушением всех слоев коры надпочечников, имеющим место при данной этиологической форме.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Рассмотрим один из важнейших клинических симптомов аддисоновой болезни.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>Пигментация.</w:t>
      </w:r>
      <w:r w:rsidRPr="00A448C5">
        <w:rPr>
          <w:sz w:val="28"/>
        </w:rPr>
        <w:t xml:space="preserve"> Пигментация является следствием отложения в сосочковом слое кожи и слизистых оболочках пигмента- меланина. Среди других этот симптом ярко выражен и наблюдается у большинства больных </w:t>
      </w:r>
      <w:r>
        <w:rPr>
          <w:sz w:val="28"/>
        </w:rPr>
        <w:t>(</w:t>
      </w:r>
      <w:r w:rsidRPr="00A448C5">
        <w:rPr>
          <w:sz w:val="28"/>
        </w:rPr>
        <w:t>55 %</w:t>
      </w:r>
      <w:r>
        <w:rPr>
          <w:sz w:val="28"/>
        </w:rPr>
        <w:t>)</w:t>
      </w:r>
      <w:r w:rsidRPr="00A448C5">
        <w:rPr>
          <w:sz w:val="28"/>
        </w:rPr>
        <w:t>.</w:t>
      </w:r>
      <w:r w:rsidR="00A448C5" w:rsidRPr="00A448C5">
        <w:rPr>
          <w:sz w:val="28"/>
        </w:rPr>
        <w:t xml:space="preserve"> 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Пигментация кожи у больных может иметь самый разнообразный оттенок. Наиболее часто встречается золтисто-коричневая, бронзовая окраска кожи, в связи с чем это заболевание получило и другое название- “бронзовая болезнь”. Иногда пигментация приобретает грязно-коричневый, землистый, лимонно-желтый оттенок или напоминает цвет солнечного загара. Расположение пигмента на коже также может быть разнообразным. По наблюдениям, чаще всего пигментируются открытые участки тела </w:t>
      </w:r>
      <w:r>
        <w:rPr>
          <w:sz w:val="28"/>
        </w:rPr>
        <w:t>(</w:t>
      </w:r>
      <w:r w:rsidRPr="00A448C5">
        <w:rPr>
          <w:sz w:val="28"/>
        </w:rPr>
        <w:t>лицо, руки</w:t>
      </w:r>
      <w:r>
        <w:rPr>
          <w:sz w:val="28"/>
        </w:rPr>
        <w:t>)</w:t>
      </w:r>
      <w:r w:rsidRPr="00A448C5">
        <w:rPr>
          <w:sz w:val="28"/>
        </w:rPr>
        <w:t>, находящиеся под прямым воздействием солнечных лучей. Однако пигментированные участки могут располагаться и на закрытых участках тела, в местах, подвергающихся интенсивному трению: на пояснице, коленях, локтях, в подмышечных впединах, складках кожи. Характерно усиление пигментачии на ладонных линиях и тыльной стороне кистей рук, стоп, причем кожа ладоней и ступней, как правило, не пигментирована.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Важным диагностическим признаком является наличие пигментации на слизистой оболочке полости рта, на внутренней поверхности щек по линии смыкания зубов, на твердом и мягком небе, задней стенке глотки, деснах, языке, губах. Часто пигментацию можно наблюдать на слизистой оболочке прямой кишки, влагалища, вокруг анального отверстия, обращает на себя внимание усиление пигментации в местах физиологического отложения пигмента : на сосках грудных желез, половых органов. Часто наблюдается усиленное отложение пигмента в области послеоперационных рубцов, на местах перенесенных ожегов или гнойничковых заболеваний кожи. Пигментация может принимать диффузный характер, распространяясь равномерно на всю кожу туловища и придавая ей смуглый оттенок.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Наибольшее диагностическое значение имеет пигментация слизистых оболочек в виде черно-сероватых пятен. 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Степень пигментации не отражает тяжести заболевания. Интенсивная пигментация часто сочетается с нормальным АД и отсутствием существенных нарушений углеводного обмена. Такие формы протекают доброкачественно и часто компенсируются введением небольших доз кортина или кортизона. С другой стороны, отдельные случаи заболевания с нерезковыраженной пигментацией или при полном ее отсутствии нельзя расценивать как легкую форму аддисоновой болезни, поскольку другие ее проявления резко выражены.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Патогенез пигментаций при аддисоновой болезни до настоящего времени еще не достаточно изучен. Несмотря на большое количество исследований в области патогенеза пигментации, проведенных за последние 20 лет, до настоящего времени еще не предложено более или менее убедительная теория, раскрывающая механизм возникновения пигментации.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Некоторые авторы связывают пигментный обмен с секрецией адреналина и норадреналина, преписывая возникновение пигментации при аддисоновой болезни недостаточности мозгового слоя надпочечников. Непосредственно к этой теории примыкает другая, с точки зрения которой адреналин и норадреналин, выделяемые мозговым слоем надпочечников или окончаниями адренергических нервов, могут подавлять действие на меланоциты меланофорного гормона, секретируемого гипофизом. Гидрокортизон, по мнению авторов этой гипотезы, вообще подавляет секрецию меланофорного и соматотропного гормонов гипофиза. Таким образом, причины пигментации авторы видят в гиперсекреции меланофорного гормона, с одной стороны, и в повышении его активности- с другой, вследствие поражения надпочечников при адиссоновой болезни. Следует отметить, что в рамках изложенной теории не находят объяснения случаи аддисоновой болезни без пигментации или сопровождающиеся меланодермией без повышения секреции меланофорного гормона. Кроме этой гипотезы, имеется ряд других, приписывающих большую роль в пигментном обмене деятельности гипофиза. Все они базируются на существовании меланофорного гормона, секрктируемого гипофизом. Межуточная доля гипофиза человека находится в атрофическом состоянии, и меланофорный гормон продуцируется базофильными клетками передней доли гипофиза, гистологически неотличимыми от клеток межуточной доли и имеющими с ними общее эмбриологическое происхождение. Меланофорный гормон обнаружен также в различных жидкостях организма. В последнее время получены данные о гипоталамическом происхождении меланофорного гормона.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Своеобразное объяснение некоторых моментов механизма пигментации при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аддисоновой болезни заключается в идентификации тиреотропного и меланофорного гормонов на том основании, что во многих препаратах тиреотропного гормона содержится большое количество меланофорного гормона.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Особое место в пигментном обмене принадлежит аскорбиновой кислоте, введение которой в больших количествах дает возможность уменьшать пигментацию у больных аддисоновой болезнью. По мнению многих авторов аскорбиновая кислота препятствует окислению адреналина в адренохромы, способствующие развитию пигментации. С другой стороны, аскорбиновая кислота участвует в синтезе кортикостероидов под влиянием стимулирующего действия АКТГ.</w:t>
      </w:r>
      <w:r w:rsidR="00A448C5" w:rsidRPr="00A448C5">
        <w:rPr>
          <w:sz w:val="28"/>
        </w:rPr>
        <w:t xml:space="preserve"> 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При первичной надпочечниковой недостаточности изменению подвергаются и производные кожи</w:t>
      </w:r>
      <w:r w:rsidR="00521E4A">
        <w:rPr>
          <w:sz w:val="28"/>
        </w:rPr>
        <w:t xml:space="preserve"> </w:t>
      </w:r>
      <w:r w:rsidRPr="00A448C5">
        <w:rPr>
          <w:sz w:val="28"/>
        </w:rPr>
        <w:t>- волосы и ногти.</w:t>
      </w:r>
      <w:r w:rsidR="00521E4A">
        <w:rPr>
          <w:sz w:val="28"/>
        </w:rPr>
        <w:t xml:space="preserve"> </w:t>
      </w:r>
      <w:r w:rsidRPr="00A448C5">
        <w:rPr>
          <w:sz w:val="28"/>
        </w:rPr>
        <w:t>Волосы на лобке и в подмышечных впадинах редеют. На ногтях могут появиться темные гиперпигментированные полосы.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Первичная надпочечниковая недостаточность может сочетаться с витилиго.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A448C5">
        <w:rPr>
          <w:b/>
          <w:sz w:val="28"/>
        </w:rPr>
        <w:t>Для диагноза аддисоновой болезни можно использовать следующие лабораторные и рентгенологические данные:</w:t>
      </w:r>
    </w:p>
    <w:p w:rsidR="00A045F3" w:rsidRPr="00A448C5" w:rsidRDefault="00521E4A" w:rsidP="00A448C5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Рентгенологически выделяемые обезыствления в области коры надпочечников.</w:t>
      </w:r>
    </w:p>
    <w:p w:rsidR="00A045F3" w:rsidRPr="00A448C5" w:rsidRDefault="00521E4A" w:rsidP="00A448C5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Повышение в сыворотке калия.</w:t>
      </w:r>
    </w:p>
    <w:p w:rsidR="00A045F3" w:rsidRPr="00A448C5" w:rsidRDefault="00521E4A" w:rsidP="00A448C5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Низкий уровень в сыворотке натрия и хлоридов. Особенно типично снижение натрия.</w:t>
      </w:r>
    </w:p>
    <w:p w:rsidR="00A045F3" w:rsidRPr="00A448C5" w:rsidRDefault="00521E4A" w:rsidP="00A448C5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Непереносимость инсулина. Уже после 5 Ед наступает значительная гипогликемия. Тенденция к спонтанной гипогликемии.</w:t>
      </w:r>
    </w:p>
    <w:p w:rsidR="00A045F3" w:rsidRPr="00A448C5" w:rsidRDefault="00521E4A" w:rsidP="00A448C5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Уменьшение выделения с мочей 17-кетостероидов.</w:t>
      </w:r>
    </w:p>
    <w:p w:rsidR="00A045F3" w:rsidRPr="00A448C5" w:rsidRDefault="00521E4A" w:rsidP="00A448C5">
      <w:pPr>
        <w:widowControl w:val="0"/>
        <w:numPr>
          <w:ilvl w:val="0"/>
          <w:numId w:val="6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Лимфоцитоз.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Предложены различные пробы, характерные для аддисоновой болезни</w:t>
      </w:r>
      <w:r w:rsidR="00A448C5">
        <w:rPr>
          <w:sz w:val="28"/>
        </w:rPr>
        <w:t>:</w:t>
      </w:r>
    </w:p>
    <w:p w:rsidR="00A045F3" w:rsidRPr="00A448C5" w:rsidRDefault="00521E4A" w:rsidP="00A448C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 xml:space="preserve">Все пробы, при которых путем введения калия или ограничения хлористого натрия можно вызвать аддисоновый криз, опасны и поэтому не рекомендуются </w:t>
      </w:r>
      <w:r w:rsidR="00A045F3">
        <w:rPr>
          <w:sz w:val="28"/>
        </w:rPr>
        <w:t>(</w:t>
      </w:r>
      <w:r w:rsidR="00A045F3" w:rsidRPr="00A448C5">
        <w:rPr>
          <w:sz w:val="28"/>
        </w:rPr>
        <w:t>проба Катлера, Harrop</w:t>
      </w:r>
      <w:r w:rsidR="00A045F3">
        <w:rPr>
          <w:sz w:val="28"/>
        </w:rPr>
        <w:t>)</w:t>
      </w:r>
    </w:p>
    <w:p w:rsidR="00A045F3" w:rsidRPr="00A448C5" w:rsidRDefault="00521E4A" w:rsidP="00A448C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Очень проста и безопасна проба Кеплер-Пауер-Робинсона. Сущность ее</w:t>
      </w:r>
      <w:r>
        <w:rPr>
          <w:sz w:val="28"/>
        </w:rPr>
        <w:t xml:space="preserve"> </w:t>
      </w:r>
      <w:r w:rsidR="00A045F3" w:rsidRPr="00A448C5">
        <w:rPr>
          <w:sz w:val="28"/>
        </w:rPr>
        <w:t>- выявить у больных аддисоновой болезнью понижение способности выделять воду.</w:t>
      </w:r>
    </w:p>
    <w:p w:rsidR="00A448C5" w:rsidRPr="00A448C5" w:rsidRDefault="00521E4A" w:rsidP="00A448C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045F3" w:rsidRPr="00A448C5">
        <w:rPr>
          <w:sz w:val="28"/>
        </w:rPr>
        <w:t>Проба с АКТГ, или проба Торна. Число эозинофилов зависит от титра 17-гидроксикортикостероидов, которые выделяются корой надпочечников и оказывают тормозящее действие. Чем выше титр стероидов, тем меньше эозинофилов поступает в кровь. Поэтому при аддисоновой болезни количество эозинофилов высокое. Функцию глюкокортикоидов можно проверить также, пробой с голоданием и пробой с нагрузкой инсулином. Проба с голоданием позволяет выявить склонность к спонтанной гипогликемии. Проба с нагрузкой инсулином небезопасна, так как незначительное количество инсулина может выфзвать тяжелую гипогликемию. При подозрении на аддисоновую болезнь надо вводить внутривенно не более 0,03 Ед/кг веса тела.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Несмотря на тонкую функциональную диагностику надпочечников, разработанную в последние годы, лабораторные результаты в некоторых случаях неодназначны и поэтому диагноз должен ставиться по клиническим данным из которых ведущее место занимает: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прогрессирующая пигментация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ненормально низкое артериальное давление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малое сердце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резкая адинамия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падение веса.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Дифференциальная диагностика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Отличить аддисоновую болезнь от гипопитуитаризма </w:t>
      </w:r>
      <w:r>
        <w:rPr>
          <w:sz w:val="28"/>
        </w:rPr>
        <w:t>(</w:t>
      </w:r>
      <w:r w:rsidRPr="00A448C5">
        <w:rPr>
          <w:sz w:val="28"/>
        </w:rPr>
        <w:t>недостаточность гипофиза, болезнь Симмондса</w:t>
      </w:r>
      <w:r>
        <w:rPr>
          <w:sz w:val="28"/>
        </w:rPr>
        <w:t>)</w:t>
      </w:r>
      <w:r w:rsidRPr="00A448C5">
        <w:rPr>
          <w:sz w:val="28"/>
        </w:rPr>
        <w:t xml:space="preserve"> не всегда легко, так как многие симптомы общи обеим болезням. Так, пигментация имеет место не только при аддисоновой болезни, но и при болезни Симмондса, хотя и значительно реже. При болезни Симмондса на первый план выступают падение веса, атрофия половых органов, в выраженных случаях</w:t>
      </w:r>
      <w:r w:rsidR="00521E4A">
        <w:rPr>
          <w:sz w:val="28"/>
        </w:rPr>
        <w:t xml:space="preserve"> </w:t>
      </w:r>
      <w:r w:rsidRPr="00A448C5">
        <w:rPr>
          <w:sz w:val="28"/>
        </w:rPr>
        <w:t>- аменоррея, брадикардия, выпадение волос и зубов. Основной обмен снижен больше чем при аддисоновой болезни. Хотя повышенная чувствительность к инсулину особенно типична для болезни Симмондса. Изменение электролитов в сыворотке имеют ту же тенденцию, что и при аддисоновой болезни, но выражена она значительно меньше. Определение в моче 17-кетостероидов помогает дифференцировать аддисонову болезнь от болезни Симмондса,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так как при последней выделение их значительно менье и практически равно нулю.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Синдром Кушинга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Эндогенный синдром Кушинга вызван избыточной секрецией кортизола в коре надпочечников. Различают 3 варианта заболевания: 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гипофизарный синдром Кушинга </w:t>
      </w:r>
      <w:r>
        <w:rPr>
          <w:sz w:val="28"/>
        </w:rPr>
        <w:t>(</w:t>
      </w:r>
      <w:r w:rsidRPr="00A448C5">
        <w:rPr>
          <w:sz w:val="28"/>
        </w:rPr>
        <w:t>болезнь Кушинга</w:t>
      </w:r>
      <w:r>
        <w:rPr>
          <w:sz w:val="28"/>
        </w:rPr>
        <w:t>)</w:t>
      </w:r>
      <w:r w:rsidRPr="00A448C5">
        <w:rPr>
          <w:sz w:val="28"/>
        </w:rPr>
        <w:t xml:space="preserve"> обусловлен нерегулируемой избыточной секрецией АКТГ в аденогипофизе. Избыток АКТГ стимулирует продукцию глюкокортикоидов в коре надпочечников, что приводит к гиперкортизолемии.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надпочечниковый синдром Кушинга </w:t>
      </w:r>
      <w:r>
        <w:rPr>
          <w:sz w:val="28"/>
        </w:rPr>
        <w:t>(</w:t>
      </w:r>
      <w:r w:rsidRPr="00A448C5">
        <w:rPr>
          <w:sz w:val="28"/>
        </w:rPr>
        <w:t>опухоли надпочечников и узловая гиперплазия коры надпочечников</w:t>
      </w:r>
      <w:r>
        <w:rPr>
          <w:sz w:val="28"/>
        </w:rPr>
        <w:t>)</w:t>
      </w:r>
      <w:r w:rsidRPr="00A448C5">
        <w:rPr>
          <w:sz w:val="28"/>
        </w:rPr>
        <w:t xml:space="preserve"> обусловлен нерегулируемой избыточной секрецией кортизола опухолями коры надпочечников </w:t>
      </w:r>
      <w:r>
        <w:rPr>
          <w:sz w:val="28"/>
        </w:rPr>
        <w:t>(</w:t>
      </w:r>
      <w:r w:rsidRPr="00A448C5">
        <w:rPr>
          <w:sz w:val="28"/>
        </w:rPr>
        <w:t>аденома, рак</w:t>
      </w:r>
      <w:r>
        <w:rPr>
          <w:sz w:val="28"/>
        </w:rPr>
        <w:t>)</w:t>
      </w:r>
      <w:r w:rsidRPr="00A448C5">
        <w:rPr>
          <w:sz w:val="28"/>
        </w:rPr>
        <w:t xml:space="preserve"> или гиперпластической тканью коры надпочечников </w:t>
      </w:r>
      <w:r>
        <w:rPr>
          <w:sz w:val="28"/>
        </w:rPr>
        <w:t>(</w:t>
      </w:r>
      <w:r w:rsidRPr="00A448C5">
        <w:rPr>
          <w:sz w:val="28"/>
        </w:rPr>
        <w:t>узловая, реже- мелкоузловая гиперплазия</w:t>
      </w:r>
      <w:r>
        <w:rPr>
          <w:sz w:val="28"/>
        </w:rPr>
        <w:t>)</w:t>
      </w:r>
      <w:r w:rsidRPr="00A448C5">
        <w:rPr>
          <w:sz w:val="28"/>
        </w:rPr>
        <w:t>. При надпочечниковом синдроме Кушинга уровень АКТГ в плазме понижен.</w:t>
      </w:r>
      <w:r w:rsidR="00A448C5" w:rsidRPr="00A448C5">
        <w:rPr>
          <w:sz w:val="28"/>
        </w:rPr>
        <w:t xml:space="preserve"> 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эктопический синдром Кушинга обусловлен нерегулируемой избыточной секркцией АКТГ негипофизарными злокачественными новообразованиями и характеризуется сильным повышением уровня АКТГ в плазме. В большей части случаев эктопический синдром Кушинга вызван злокачественным новообразованием легких </w:t>
      </w:r>
      <w:r>
        <w:rPr>
          <w:sz w:val="28"/>
        </w:rPr>
        <w:t>(</w:t>
      </w:r>
      <w:r w:rsidRPr="00A448C5">
        <w:rPr>
          <w:sz w:val="28"/>
        </w:rPr>
        <w:t>овсяноклеточным раком</w:t>
      </w:r>
      <w:r>
        <w:rPr>
          <w:sz w:val="28"/>
        </w:rPr>
        <w:t>)</w:t>
      </w:r>
      <w:r w:rsidRPr="00A448C5">
        <w:rPr>
          <w:sz w:val="28"/>
        </w:rPr>
        <w:t>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Гипофизарный и надпочечниковый синдромы сопровождаются избыточной продукцией не только глюкокортикоидов, но и андрогенов.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Экзогенный синдром Кушинга </w:t>
      </w:r>
      <w:r>
        <w:rPr>
          <w:sz w:val="28"/>
        </w:rPr>
        <w:t>(</w:t>
      </w:r>
      <w:r w:rsidRPr="00A448C5">
        <w:rPr>
          <w:sz w:val="28"/>
        </w:rPr>
        <w:t>его называют также лекарственным или ятрогенным</w:t>
      </w:r>
      <w:r>
        <w:rPr>
          <w:sz w:val="28"/>
        </w:rPr>
        <w:t>)</w:t>
      </w:r>
      <w:r w:rsidRPr="00A448C5">
        <w:rPr>
          <w:sz w:val="28"/>
        </w:rPr>
        <w:t xml:space="preserve"> обусловлен длительным лечением глюкокортикоидами или другими стероидами, связывающимися с рецепторами глюкокортикоидов. Экзогенный синдром Кушинга может развиваться и после короткого курса лечения стероидами у больных с нарушениями периферического метаболизма стероидов. Отличительная черта экзогенного синдрома Кушинга- снижение уровня кортизола в сыворотке и моче из-за угнетения гипофизарно-надпочечниковой системы, при этом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избытка андрогенов нет.</w:t>
      </w:r>
    </w:p>
    <w:p w:rsidR="00A448C5" w:rsidRDefault="00A448C5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</w:p>
    <w:p w:rsidR="00A448C5" w:rsidRPr="00A448C5" w:rsidRDefault="00A448C5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Доля всех случаев эндогенного синдрома Кушинга. </w:t>
      </w:r>
    </w:p>
    <w:p w:rsidR="00A045F3" w:rsidRPr="00A448C5" w:rsidRDefault="00E775E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object w:dxaOrig="9810" w:dyaOrig="5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199.5pt" o:ole="">
            <v:imagedata r:id="rId7" o:title=""/>
          </v:shape>
          <o:OLEObject Type="Embed" ProgID="MSGraph.Chart.8" ShapeID="_x0000_i1025" DrawAspect="Content" ObjectID="_1478979789" r:id="rId8"/>
        </w:objec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Доля всех случаев синдрома Кушинга.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 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A448C5">
        <w:rPr>
          <w:b/>
          <w:sz w:val="28"/>
        </w:rPr>
        <w:t>Клиническая картина</w:t>
      </w:r>
    </w:p>
    <w:p w:rsidR="00A045F3" w:rsidRPr="00A448C5" w:rsidRDefault="00A045F3" w:rsidP="00A448C5">
      <w:pPr>
        <w:widowControl w:val="0"/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Внешний вид. Полнокровное лунообразное лицо, багровый румянец, телеангиэктазии и усиленный рост пушковых волос, особенно на висках и щеках. Для поздних стадий болезни характерны атрофия кожи и кровоточивость.</w:t>
      </w:r>
    </w:p>
    <w:p w:rsidR="00A045F3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Стрии возникают в местах растяжения кожи </w:t>
      </w:r>
      <w:r w:rsidR="00521E4A">
        <w:rPr>
          <w:sz w:val="28"/>
        </w:rPr>
        <w:t>в</w:t>
      </w:r>
      <w:r w:rsidRPr="00A448C5">
        <w:rPr>
          <w:sz w:val="28"/>
        </w:rPr>
        <w:t xml:space="preserve"> результате атрофии кожи и эпридермиса. Кровеносные сосуды, просвечивающиеся сквозь истонченную кожу, придают стриям характерный багровый цвет. У некоторых больных наблюдается гиперпигментация стрий вследствие отложения меланина.</w:t>
      </w:r>
    </w:p>
    <w:p w:rsidR="00A045F3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Угри появляются из - за избытка кортикостероидов на лице, плечах, груди и спине . Высыпания мономорфные, находятся на одной и тойже стадии развития. Обычно это перифолликулярные ороговевающие папулы, хотя в последствии они могут превратиться в пустулы. комедоны встречаются редко.</w:t>
      </w:r>
    </w:p>
    <w:p w:rsidR="00A045F3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Перераспределение подкожного жира: отложение жира на щеках, в надлопаточной области </w:t>
      </w:r>
      <w:r>
        <w:rPr>
          <w:sz w:val="28"/>
        </w:rPr>
        <w:t>(</w:t>
      </w:r>
      <w:r w:rsidRPr="00A448C5">
        <w:rPr>
          <w:sz w:val="28"/>
        </w:rPr>
        <w:t>жировой горбик</w:t>
      </w:r>
      <w:r>
        <w:rPr>
          <w:sz w:val="28"/>
        </w:rPr>
        <w:t>)</w:t>
      </w:r>
      <w:r w:rsidRPr="00A448C5">
        <w:rPr>
          <w:sz w:val="28"/>
        </w:rPr>
        <w:t>, на ягодицах и животе.</w:t>
      </w:r>
    </w:p>
    <w:p w:rsidR="00A045F3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При гипофизарном и эктопическом синдроме Кушинга возможна гиперпигментация - такая же, как и при первичной надпочечниковой недостаточности.</w:t>
      </w:r>
    </w:p>
    <w:p w:rsidR="00A448C5" w:rsidRPr="00A448C5" w:rsidRDefault="00A045F3" w:rsidP="001457CB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Надпочечниковые андрогены </w:t>
      </w:r>
      <w:r>
        <w:rPr>
          <w:sz w:val="28"/>
        </w:rPr>
        <w:t>(</w:t>
      </w:r>
      <w:r w:rsidRPr="00A448C5">
        <w:rPr>
          <w:sz w:val="28"/>
        </w:rPr>
        <w:t>главным образом, дегидроэпиандростерона сульфат</w:t>
      </w:r>
      <w:r>
        <w:rPr>
          <w:sz w:val="28"/>
        </w:rPr>
        <w:t>)</w:t>
      </w:r>
      <w:r w:rsidRPr="00A448C5">
        <w:rPr>
          <w:sz w:val="28"/>
        </w:rPr>
        <w:t xml:space="preserve"> сами по себе обладают слабой андрогенной активностью, но в периферических тканях превращаются в тестостерон и дегтдротестостерон. Поэтому избыток надпочечниковых андрогенов приводит к появлению обыкновенных угрей. У женщин, кроме того, развивается гирсутизм и андрогенетическая аллопеция.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A448C5">
        <w:rPr>
          <w:b/>
          <w:sz w:val="28"/>
        </w:rPr>
        <w:t>Дифференциальная диагностика</w:t>
      </w: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Длительный прием дексаметазона при гипофизарном синдроме Кушинга снижает содержание кортизола в моче или сыворотке более чем на 50 % по сравнению с исходным уровнем. С помощью этой пробы в 85 %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случаев удается отличить гипофизарный синдром Кушинга от других его разновидностей.</w:t>
      </w:r>
    </w:p>
    <w:p w:rsidR="00A045F3" w:rsidRPr="00A448C5" w:rsidRDefault="00A045F3" w:rsidP="00A448C5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 xml:space="preserve">При обнаружении минимального количества АКТГ следует диагносцировать эктопический или гипофизарный синдром Кушинга. При этопическом синдроме Кушинга, обусловленном овсяноклеточным раком легкого, уровень АКТГ в плазме очень высок. У больных с гипофизарным синдромом Кушинга базальный уровень АКТГ в плазме повышен примерно в половине случаев; это повышение чаще бывает легким или умеренным </w:t>
      </w:r>
      <w:r>
        <w:rPr>
          <w:sz w:val="28"/>
        </w:rPr>
        <w:t>(</w:t>
      </w:r>
      <w:r w:rsidRPr="00A448C5">
        <w:rPr>
          <w:sz w:val="28"/>
        </w:rPr>
        <w:t>на 100 - 250 %</w:t>
      </w:r>
      <w:r>
        <w:rPr>
          <w:sz w:val="28"/>
        </w:rPr>
        <w:t>)</w:t>
      </w:r>
      <w:r w:rsidRPr="00A448C5">
        <w:rPr>
          <w:sz w:val="28"/>
        </w:rPr>
        <w:t>. У остальных больных с гипофизарным синдромом Кушинга уровень АКТГ нормальный.</w:t>
      </w:r>
    </w:p>
    <w:p w:rsidR="00A045F3" w:rsidRPr="00A448C5" w:rsidRDefault="00A045F3" w:rsidP="00A448C5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Кортиколиберин избирательно стимулирует секрецию АКТГ в кортикотропных клетках. При гипофизарном синдроме Кушинга быстрое внутривенное введение кортикорелина трифлутата в дозе 1мкг/кг повышает уровни АКТГ и кортизола почти на 90 %. У больных с эктопическим и надпочечниковым синдромом секреторной реакции на кортиколиберин нет.</w:t>
      </w:r>
    </w:p>
    <w:p w:rsidR="00A045F3" w:rsidRPr="00A448C5" w:rsidRDefault="00A045F3" w:rsidP="00A448C5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 xml:space="preserve">Для решения вопроса о центральной или эктопической локализации источника АКТГ определяют концентрации АКТГ в плазме из нижних каменистых синусов </w:t>
      </w:r>
      <w:r>
        <w:rPr>
          <w:sz w:val="28"/>
        </w:rPr>
        <w:t>(</w:t>
      </w:r>
      <w:r w:rsidRPr="00A448C5">
        <w:rPr>
          <w:sz w:val="28"/>
        </w:rPr>
        <w:t>места венозного дренажа гипофиза</w:t>
      </w:r>
      <w:r>
        <w:rPr>
          <w:sz w:val="28"/>
        </w:rPr>
        <w:t>)</w:t>
      </w:r>
      <w:r w:rsidRPr="00A448C5">
        <w:rPr>
          <w:sz w:val="28"/>
        </w:rPr>
        <w:t xml:space="preserve"> и в плазме из периферической вены и вычисляют отношение этих концентраций. У здоровых людей это отношение равно 20, у больных с гипофизарным синдромом Кушинга </w:t>
      </w:r>
      <w:r w:rsidRPr="00A448C5">
        <w:rPr>
          <w:sz w:val="28"/>
          <w:szCs w:val="28"/>
        </w:rPr>
        <w:sym w:font="Symbol" w:char="F03E"/>
      </w:r>
      <w:r w:rsidRPr="00A448C5">
        <w:rPr>
          <w:sz w:val="28"/>
        </w:rPr>
        <w:t>2, а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 xml:space="preserve">при эктопическом синдроме Кушинга </w:t>
      </w:r>
      <w:r w:rsidRPr="00A448C5">
        <w:rPr>
          <w:sz w:val="28"/>
          <w:szCs w:val="28"/>
        </w:rPr>
        <w:sym w:font="Symbol" w:char="F0A3"/>
      </w:r>
      <w:r w:rsidRPr="00A448C5">
        <w:rPr>
          <w:sz w:val="28"/>
        </w:rPr>
        <w:t xml:space="preserve"> 2. Через 3 минуты после внутривенного введения кортикорелина трифлутата это отношение у больных с гипофизарным синдромом возрастает до 3,3 и более, а при эктопическом синдроме не превышает 2.</w:t>
      </w:r>
    </w:p>
    <w:p w:rsidR="00A045F3" w:rsidRPr="00A448C5" w:rsidRDefault="00A045F3" w:rsidP="00A448C5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Для гипофизарного синдрома Кушинга характерно:</w:t>
      </w:r>
    </w:p>
    <w:p w:rsidR="00A045F3" w:rsidRPr="00A448C5" w:rsidRDefault="00A045F3" w:rsidP="00A448C5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 xml:space="preserve">рентгенологическое исследование турецкого седла выявляет 10 - 15 % опухолей гипофиза. </w:t>
      </w:r>
    </w:p>
    <w:p w:rsidR="00A045F3" w:rsidRPr="00A448C5" w:rsidRDefault="00A045F3" w:rsidP="00A448C5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компьютерная томография выявляет до 85 % микроаденом.</w:t>
      </w:r>
    </w:p>
    <w:p w:rsidR="00A045F3" w:rsidRPr="00A448C5" w:rsidRDefault="00A045F3" w:rsidP="00A448C5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Для эктопического синдрома Кушинга характерно :</w:t>
      </w:r>
    </w:p>
    <w:p w:rsidR="00A045F3" w:rsidRPr="00A448C5" w:rsidRDefault="00A045F3" w:rsidP="00A448C5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рентгенологическое исследование грудной клетки выявляет опухоль легких примерно у 50 %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 xml:space="preserve">больных </w:t>
      </w:r>
      <w:r>
        <w:rPr>
          <w:sz w:val="28"/>
        </w:rPr>
        <w:t>(</w:t>
      </w:r>
      <w:r w:rsidRPr="00A448C5">
        <w:rPr>
          <w:sz w:val="28"/>
        </w:rPr>
        <w:t>обычно овсяноклеточный рак легкого</w:t>
      </w:r>
      <w:r>
        <w:rPr>
          <w:sz w:val="28"/>
        </w:rPr>
        <w:t>)</w:t>
      </w:r>
      <w:r w:rsidRPr="00A448C5">
        <w:rPr>
          <w:sz w:val="28"/>
        </w:rPr>
        <w:t>.</w:t>
      </w:r>
    </w:p>
    <w:p w:rsidR="00A045F3" w:rsidRPr="00A448C5" w:rsidRDefault="00A045F3" w:rsidP="00A448C5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A448C5">
        <w:rPr>
          <w:sz w:val="28"/>
        </w:rPr>
        <w:t>с помощью компьютерной и магнитно- резонансной томографий удается выявить эктопические АКТГ- секретирующие опухоли легких у большого чи</w:t>
      </w:r>
      <w:r w:rsidR="005C533F">
        <w:rPr>
          <w:sz w:val="28"/>
        </w:rPr>
        <w:t>с</w:t>
      </w:r>
      <w:r w:rsidRPr="00A448C5">
        <w:rPr>
          <w:sz w:val="28"/>
        </w:rPr>
        <w:t xml:space="preserve">ла больных. Поэтому это </w:t>
      </w:r>
      <w:r w:rsidR="005C533F" w:rsidRPr="00A448C5">
        <w:rPr>
          <w:sz w:val="28"/>
        </w:rPr>
        <w:t>являются</w:t>
      </w:r>
      <w:r w:rsidRPr="00A448C5">
        <w:rPr>
          <w:sz w:val="28"/>
        </w:rPr>
        <w:t xml:space="preserve"> методами выбора.</w:t>
      </w:r>
    </w:p>
    <w:p w:rsidR="00A045F3" w:rsidRPr="001457CB" w:rsidRDefault="001457CB" w:rsidP="001457C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448C5">
        <w:rPr>
          <w:b/>
          <w:sz w:val="28"/>
        </w:rPr>
        <w:t>Гемохроматоз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Гемохроматоз </w:t>
      </w:r>
      <w:r>
        <w:rPr>
          <w:sz w:val="28"/>
        </w:rPr>
        <w:t>(</w:t>
      </w:r>
      <w:r w:rsidRPr="00A448C5">
        <w:rPr>
          <w:sz w:val="28"/>
        </w:rPr>
        <w:t>бронзовый диабет</w:t>
      </w:r>
      <w:r>
        <w:rPr>
          <w:sz w:val="28"/>
        </w:rPr>
        <w:t>)</w:t>
      </w:r>
      <w:r w:rsidR="005C533F">
        <w:rPr>
          <w:sz w:val="28"/>
        </w:rPr>
        <w:t xml:space="preserve"> </w:t>
      </w:r>
      <w:r w:rsidRPr="00A448C5">
        <w:rPr>
          <w:sz w:val="28"/>
        </w:rPr>
        <w:t xml:space="preserve">- аутосомно-рецессивное наследственное заболевание при котором в </w:t>
      </w:r>
      <w:r w:rsidR="005C533F" w:rsidRPr="00A448C5">
        <w:rPr>
          <w:sz w:val="28"/>
        </w:rPr>
        <w:t>организме</w:t>
      </w:r>
      <w:r w:rsidRPr="00A448C5">
        <w:rPr>
          <w:sz w:val="28"/>
        </w:rPr>
        <w:t xml:space="preserve"> накапливается железо.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Главное звено патогенеза</w:t>
      </w:r>
      <w:r w:rsidR="005C533F">
        <w:rPr>
          <w:sz w:val="28"/>
        </w:rPr>
        <w:t xml:space="preserve"> </w:t>
      </w:r>
      <w:r w:rsidRPr="00A448C5">
        <w:rPr>
          <w:sz w:val="28"/>
        </w:rPr>
        <w:t>- усиленное всасывание железа в кишечнике.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Это заболевание встречается у мужчин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 xml:space="preserve">в 6 раз чаще, чем у женщин, и преимущественно в возрасте между 50 и 60 годами. 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Для гемохроматоза наряду с симптомами цирроза печени характерно наличие </w:t>
      </w:r>
      <w:r w:rsidR="005C533F" w:rsidRPr="00A448C5">
        <w:rPr>
          <w:sz w:val="28"/>
        </w:rPr>
        <w:t>сахарного</w:t>
      </w:r>
      <w:r w:rsidRPr="00A448C5">
        <w:rPr>
          <w:sz w:val="28"/>
        </w:rPr>
        <w:t xml:space="preserve"> диабета и выраженная пигментация кожи и слизистых оболочек вследствие отложения меланина в базальном слое эпидермиса, а также поражение сердца. При гемохроматозе пигментация кожи и слизистых имеет типичную дымчато-серую окраску внутренних поверхностей кистей рук.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Важным дифференциальным признаком гемохроматоза является обнаружение в биоптате наряду с липоусцином железосодержащего пигмента. Кроме того, диагностическую ценность имеет обнаружение железа в стернальном пунктате, которое может наблюдаться даже тогда, когда отложений железа не удается обнаружить при биопсии кожи.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Частота отдельных симптомов при гемохроматозе: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Увеличение печени и коллоидные реакции в плазме- 100 %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Пигментация кожи - 96 %</w:t>
      </w:r>
    </w:p>
    <w:p w:rsidR="00A448C5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Диабет </w:t>
      </w:r>
      <w:r>
        <w:rPr>
          <w:sz w:val="28"/>
        </w:rPr>
        <w:t>(</w:t>
      </w:r>
      <w:r w:rsidRPr="00A448C5">
        <w:rPr>
          <w:sz w:val="28"/>
        </w:rPr>
        <w:t>выраженный</w:t>
      </w:r>
      <w:r>
        <w:rPr>
          <w:sz w:val="28"/>
        </w:rPr>
        <w:t>)</w:t>
      </w:r>
      <w:r w:rsidRPr="00A448C5">
        <w:rPr>
          <w:sz w:val="28"/>
        </w:rPr>
        <w:t xml:space="preserve"> - 64 %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Поражение сердца - 56 %</w:t>
      </w:r>
    </w:p>
    <w:p w:rsidR="00A045F3" w:rsidRPr="00A448C5" w:rsidRDefault="00A045F3" w:rsidP="00A448C5">
      <w:pPr>
        <w:widowControl w:val="0"/>
        <w:numPr>
          <w:ilvl w:val="0"/>
          <w:numId w:val="1"/>
        </w:numPr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Вовлечение в патологический процесс эндокринной системы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- 37 %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Уровень железа в сыворотке при гемохроматозе повышен. Основное значение имеет прорыв барьера, препятствующего поступленю в организм излишнего железа. Двухвалентное железо захватывается в кишечнике белком апоферритином, который в качестве ферритина может содержать до 23 % железа. В норме, как только наступает перегрузка организма железом, всасывание пищевого железа прекращается вследствие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 xml:space="preserve">недостаточного образования ферритина </w:t>
      </w:r>
      <w:r>
        <w:rPr>
          <w:sz w:val="28"/>
        </w:rPr>
        <w:t>(</w:t>
      </w:r>
      <w:r w:rsidRPr="00A448C5">
        <w:rPr>
          <w:sz w:val="28"/>
        </w:rPr>
        <w:t>блокада слизистой</w:t>
      </w:r>
      <w:r>
        <w:rPr>
          <w:sz w:val="28"/>
        </w:rPr>
        <w:t>)</w:t>
      </w:r>
      <w:r w:rsidRPr="00A448C5">
        <w:rPr>
          <w:sz w:val="28"/>
        </w:rPr>
        <w:t>. Напротив, при гемохроматозе железо всасывается независимо от потребности в нем организма, что приводит п повышению уровня железа в сыворотке крови и поступлению его в ткани. К картине гемосидероза, помимо повышенного всасывания железа, которое рассматривается как результат дистрофии вследствие голода, гепатита, инфекций и злоупотребления алкаголем, может вести также массивное поступление железа при переливаниях крови.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Acanthosis nigricans</w:t>
      </w:r>
    </w:p>
    <w:p w:rsidR="00A448C5" w:rsidRDefault="00A448C5" w:rsidP="00A448C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Это ворсинчато- бородавчатые разрастания и гиперпигментация кожи подмышечных впадин и других крупных складок. Встречается при многих эндокринных заболеваниях, в том числе при гипофизарном синдроме Кушинга, опухолях гипофиза, акромегалии, первичной надпочечниковой недостаточности и синдроме поликистозных яичников. В большинстве случаев acanthosis nigricans обусловлен инсулинрезистентностью и сопутствующей гиперинсулинемией: инсулин стимулирует прилиферацию клеток кожи, действуя через рецепторы инсулиноподобного фактора роста.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>В данной работе рассмотрена только небольшая часть</w:t>
      </w:r>
      <w:r w:rsidR="00A448C5" w:rsidRPr="00A448C5">
        <w:rPr>
          <w:sz w:val="28"/>
        </w:rPr>
        <w:t xml:space="preserve"> </w:t>
      </w:r>
      <w:r w:rsidRPr="00A448C5">
        <w:rPr>
          <w:sz w:val="28"/>
        </w:rPr>
        <w:t>заболевания, для которых характерно потемнение кожных покровов.</w:t>
      </w:r>
    </w:p>
    <w:p w:rsidR="00A045F3" w:rsidRPr="00A448C5" w:rsidRDefault="00A045F3" w:rsidP="00A448C5">
      <w:pPr>
        <w:widowControl w:val="0"/>
        <w:spacing w:line="360" w:lineRule="auto"/>
        <w:ind w:firstLine="709"/>
        <w:jc w:val="both"/>
        <w:rPr>
          <w:sz w:val="28"/>
        </w:rPr>
      </w:pPr>
      <w:r w:rsidRPr="00A448C5">
        <w:rPr>
          <w:sz w:val="28"/>
        </w:rPr>
        <w:t xml:space="preserve">Кожные изменения очень часто являются зеркалом скрытых изменений внутренних органов. Клиницист поэтому всегда должен пользоваться этим ценным диагностическим ключом. </w:t>
      </w:r>
    </w:p>
    <w:p w:rsidR="00A045F3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A045F3" w:rsidRPr="00A448C5">
        <w:rPr>
          <w:b/>
          <w:sz w:val="28"/>
        </w:rPr>
        <w:t>Список используемой ли</w:t>
      </w:r>
      <w:r>
        <w:rPr>
          <w:b/>
          <w:sz w:val="28"/>
        </w:rPr>
        <w:t>тературы</w:t>
      </w:r>
    </w:p>
    <w:p w:rsidR="00A448C5" w:rsidRPr="00A448C5" w:rsidRDefault="00A448C5" w:rsidP="00A448C5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045F3" w:rsidRPr="00A448C5" w:rsidRDefault="00A045F3" w:rsidP="001457CB">
      <w:pPr>
        <w:widowControl w:val="0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 xml:space="preserve">Афанасьев Ю.И., Юрин Н.А., Гистология </w:t>
      </w:r>
      <w:r>
        <w:rPr>
          <w:color w:val="000000"/>
          <w:sz w:val="28"/>
        </w:rPr>
        <w:t>(</w:t>
      </w:r>
      <w:r w:rsidRPr="00A448C5">
        <w:rPr>
          <w:color w:val="000000"/>
          <w:sz w:val="28"/>
        </w:rPr>
        <w:t>4-е издание</w:t>
      </w:r>
      <w:r>
        <w:rPr>
          <w:color w:val="000000"/>
          <w:sz w:val="28"/>
        </w:rPr>
        <w:t>)</w:t>
      </w:r>
      <w:r w:rsidRPr="00A448C5">
        <w:rPr>
          <w:color w:val="000000"/>
          <w:sz w:val="28"/>
        </w:rPr>
        <w:t>. Москва: Медицина, 1985. стр. 282-287, 580.</w:t>
      </w:r>
    </w:p>
    <w:p w:rsidR="00A045F3" w:rsidRPr="00A448C5" w:rsidRDefault="00A045F3" w:rsidP="001457CB">
      <w:pPr>
        <w:widowControl w:val="0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Хеглин Р., Дифференциальная диагностика внутренних болезней. Москва: изд. Инженер, 1993. стр 29-30, 372-378, 581-583.</w:t>
      </w:r>
    </w:p>
    <w:p w:rsidR="00A045F3" w:rsidRPr="00A448C5" w:rsidRDefault="00A045F3" w:rsidP="001457CB">
      <w:pPr>
        <w:widowControl w:val="0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Лавин Н., Эндокринология. Москва: Практика, 1999. стр 175, 178-181, 183-185, 187, 557-558, 560-563, 938-940, 943-944.</w:t>
      </w:r>
    </w:p>
    <w:p w:rsidR="00A045F3" w:rsidRPr="00A448C5" w:rsidRDefault="00A045F3" w:rsidP="001457CB">
      <w:pPr>
        <w:widowControl w:val="0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 xml:space="preserve">Леванов А, Аддисонова болезнь. Москва: Медицина, 1963. </w:t>
      </w:r>
    </w:p>
    <w:p w:rsidR="00A045F3" w:rsidRPr="00A448C5" w:rsidRDefault="00A045F3" w:rsidP="001457CB">
      <w:pPr>
        <w:widowControl w:val="0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Руководство по эндокринологии. Москва: Медицина, 1989. стр 89-95, 112-115, 120-122.</w:t>
      </w:r>
    </w:p>
    <w:p w:rsidR="00A045F3" w:rsidRPr="00A448C5" w:rsidRDefault="00A045F3" w:rsidP="001457CB">
      <w:pPr>
        <w:widowControl w:val="0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rPr>
          <w:color w:val="000000"/>
          <w:sz w:val="28"/>
        </w:rPr>
      </w:pPr>
      <w:r w:rsidRPr="00A448C5">
        <w:rPr>
          <w:color w:val="000000"/>
          <w:sz w:val="28"/>
        </w:rPr>
        <w:t>Справочник по эндокринным заболеваниям. Москва: Медицина, 1995. стр 24-29, 51-57, 84-90, 127-130.</w:t>
      </w:r>
    </w:p>
    <w:p w:rsidR="00A045F3" w:rsidRPr="00A448C5" w:rsidRDefault="00A045F3" w:rsidP="001457CB">
      <w:pPr>
        <w:widowControl w:val="0"/>
        <w:tabs>
          <w:tab w:val="num" w:pos="0"/>
        </w:tabs>
        <w:spacing w:line="360" w:lineRule="auto"/>
        <w:rPr>
          <w:color w:val="000000"/>
          <w:sz w:val="28"/>
          <w:lang w:val="en-US"/>
        </w:rPr>
      </w:pPr>
      <w:r w:rsidRPr="00A448C5">
        <w:rPr>
          <w:color w:val="000000"/>
          <w:sz w:val="28"/>
        </w:rPr>
        <w:t>Вахрушев А.Н., Непосредственное исследование больного. Ижевск</w:t>
      </w:r>
      <w:r w:rsidRPr="00A448C5">
        <w:rPr>
          <w:color w:val="000000"/>
          <w:sz w:val="28"/>
          <w:lang w:val="en-US"/>
        </w:rPr>
        <w:t xml:space="preserve">, 1992. </w:t>
      </w:r>
      <w:r w:rsidRPr="00A448C5">
        <w:rPr>
          <w:color w:val="000000"/>
          <w:sz w:val="28"/>
        </w:rPr>
        <w:t>стр</w:t>
      </w:r>
      <w:r w:rsidRPr="00A448C5">
        <w:rPr>
          <w:color w:val="000000"/>
          <w:sz w:val="28"/>
          <w:lang w:val="en-US"/>
        </w:rPr>
        <w:t xml:space="preserve"> 69-72. 81.</w:t>
      </w:r>
      <w:bookmarkStart w:id="0" w:name="_GoBack"/>
      <w:bookmarkEnd w:id="0"/>
    </w:p>
    <w:sectPr w:rsidR="00A045F3" w:rsidRPr="00A448C5" w:rsidSect="00A448C5">
      <w:headerReference w:type="even" r:id="rId9"/>
      <w:headerReference w:type="default" r:id="rId10"/>
      <w:footerReference w:type="even" r:id="rId11"/>
      <w:footerReference w:type="default" r:id="rId12"/>
      <w:type w:val="nextColumn"/>
      <w:pgSz w:w="11907" w:h="16840" w:code="9"/>
      <w:pgMar w:top="1134" w:right="850" w:bottom="1134" w:left="1701" w:header="697" w:footer="6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ED2" w:rsidRDefault="00A85ED2">
      <w:r>
        <w:separator/>
      </w:r>
    </w:p>
  </w:endnote>
  <w:endnote w:type="continuationSeparator" w:id="0">
    <w:p w:rsidR="00A85ED2" w:rsidRDefault="00A8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F3" w:rsidRDefault="00A045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F3" w:rsidRDefault="00A045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F3" w:rsidRDefault="00A045F3">
    <w:pPr>
      <w:pStyle w:val="Footer"/>
      <w:ind w:right="360"/>
    </w:pPr>
    <w:r>
      <w:rPr>
        <w:rStyle w:val="PageNumber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ED2" w:rsidRDefault="00A85ED2">
      <w:r>
        <w:separator/>
      </w:r>
    </w:p>
  </w:footnote>
  <w:footnote w:type="continuationSeparator" w:id="0">
    <w:p w:rsidR="00A85ED2" w:rsidRDefault="00A85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F3" w:rsidRDefault="00A045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45F3" w:rsidRDefault="00A045F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5F3" w:rsidRDefault="00A045F3">
    <w:pPr>
      <w:pStyle w:val="Header"/>
      <w:framePr w:wrap="around" w:vAnchor="text" w:hAnchor="margin" w:xAlign="right" w:y="1"/>
      <w:rPr>
        <w:rStyle w:val="PageNumber"/>
      </w:rPr>
    </w:pPr>
  </w:p>
  <w:p w:rsidR="00A045F3" w:rsidRDefault="00A045F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554EA44"/>
    <w:lvl w:ilvl="0">
      <w:numFmt w:val="bullet"/>
      <w:lvlText w:val="*"/>
      <w:lvlJc w:val="left"/>
    </w:lvl>
  </w:abstractNum>
  <w:abstractNum w:abstractNumId="1">
    <w:nsid w:val="0D646DA0"/>
    <w:multiLevelType w:val="singleLevel"/>
    <w:tmpl w:val="C8B68E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65C73EF"/>
    <w:multiLevelType w:val="singleLevel"/>
    <w:tmpl w:val="6B283D1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49E7BEA"/>
    <w:multiLevelType w:val="singleLevel"/>
    <w:tmpl w:val="8C7280AE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FCC5955"/>
    <w:multiLevelType w:val="singleLevel"/>
    <w:tmpl w:val="FAF4F5AE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BC55DB7"/>
    <w:multiLevelType w:val="singleLevel"/>
    <w:tmpl w:val="F0D2329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6">
    <w:nsid w:val="5C7F4E91"/>
    <w:multiLevelType w:val="singleLevel"/>
    <w:tmpl w:val="CAA4A18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E761E4E"/>
    <w:multiLevelType w:val="singleLevel"/>
    <w:tmpl w:val="C05031A0"/>
    <w:lvl w:ilvl="0">
      <w:start w:val="1"/>
      <w:numFmt w:val="decimal"/>
      <w:lvlText w:val="%1."/>
      <w:legacy w:legacy="1" w:legacySpace="0" w:legacyIndent="426"/>
      <w:lvlJc w:val="left"/>
      <w:pPr>
        <w:ind w:left="1560" w:hanging="426"/>
      </w:pPr>
      <w:rPr>
        <w:rFonts w:cs="Times New Roman"/>
      </w:rPr>
    </w:lvl>
  </w:abstractNum>
  <w:abstractNum w:abstractNumId="8">
    <w:nsid w:val="5E860007"/>
    <w:multiLevelType w:val="singleLevel"/>
    <w:tmpl w:val="A26EC8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CE552C3"/>
    <w:multiLevelType w:val="singleLevel"/>
    <w:tmpl w:val="C6BA69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142"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C5"/>
    <w:rsid w:val="001457CB"/>
    <w:rsid w:val="0040523B"/>
    <w:rsid w:val="00521E4A"/>
    <w:rsid w:val="005C533F"/>
    <w:rsid w:val="00A045F3"/>
    <w:rsid w:val="00A448C5"/>
    <w:rsid w:val="00A85ED2"/>
    <w:rsid w:val="00C41D80"/>
    <w:rsid w:val="00D07A86"/>
    <w:rsid w:val="00E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D4647BB-0A5A-411A-908C-9CC68EC5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character" w:styleId="PageNumber">
    <w:name w:val="page number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военно-медицинский институт</vt:lpstr>
    </vt:vector>
  </TitlesOfParts>
  <Company>Microsoft</Company>
  <LinksUpToDate>false</LinksUpToDate>
  <CharactersWithSpaces>31069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военно-медицинский институт</dc:title>
  <dc:subject/>
  <dc:creator>Мушкин Виталий Владимирович</dc:creator>
  <cp:keywords/>
  <dc:description/>
  <cp:lastModifiedBy>Irina</cp:lastModifiedBy>
  <cp:revision>2</cp:revision>
  <cp:lastPrinted>2000-03-13T05:30:00Z</cp:lastPrinted>
  <dcterms:created xsi:type="dcterms:W3CDTF">2014-12-01T20:57:00Z</dcterms:created>
  <dcterms:modified xsi:type="dcterms:W3CDTF">2014-12-01T20:57:00Z</dcterms:modified>
</cp:coreProperties>
</file>