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EB5" w:rsidRDefault="008E40CA">
      <w:pPr>
        <w:pStyle w:val="1"/>
        <w:rPr>
          <w:rFonts w:ascii="Arial" w:hAnsi="Arial"/>
          <w:b/>
          <w:sz w:val="32"/>
          <w:u w:val="single"/>
        </w:rPr>
      </w:pPr>
      <w:r>
        <w:rPr>
          <w:rFonts w:ascii="Arial" w:hAnsi="Arial"/>
          <w:b/>
          <w:sz w:val="32"/>
          <w:u w:val="single"/>
        </w:rPr>
        <w:t>План</w:t>
      </w:r>
    </w:p>
    <w:p w:rsidR="00EF6EB5" w:rsidRDefault="008E40CA">
      <w:pPr>
        <w:pStyle w:val="1"/>
        <w:numPr>
          <w:ilvl w:val="0"/>
          <w:numId w:val="7"/>
        </w:numPr>
        <w:rPr>
          <w:rFonts w:ascii="Arial" w:hAnsi="Arial"/>
          <w:sz w:val="28"/>
        </w:rPr>
      </w:pPr>
      <w:r>
        <w:rPr>
          <w:rFonts w:ascii="Arial" w:hAnsi="Arial"/>
          <w:sz w:val="28"/>
        </w:rPr>
        <w:t>Введение (Общее положение)</w:t>
      </w:r>
    </w:p>
    <w:p w:rsidR="00EF6EB5" w:rsidRDefault="008E40CA">
      <w:pPr>
        <w:pStyle w:val="1"/>
        <w:numPr>
          <w:ilvl w:val="0"/>
          <w:numId w:val="7"/>
        </w:numPr>
        <w:rPr>
          <w:rFonts w:ascii="Arial" w:hAnsi="Arial"/>
          <w:sz w:val="28"/>
        </w:rPr>
      </w:pPr>
      <w:r>
        <w:rPr>
          <w:rFonts w:ascii="Arial" w:hAnsi="Arial"/>
          <w:sz w:val="28"/>
        </w:rPr>
        <w:t>Материковая Африка</w:t>
      </w:r>
    </w:p>
    <w:p w:rsidR="00EF6EB5" w:rsidRDefault="008E40CA">
      <w:pPr>
        <w:pStyle w:val="1"/>
        <w:numPr>
          <w:ilvl w:val="0"/>
          <w:numId w:val="7"/>
        </w:numPr>
        <w:rPr>
          <w:rFonts w:ascii="Arial" w:hAnsi="Arial"/>
          <w:sz w:val="28"/>
        </w:rPr>
      </w:pPr>
      <w:r>
        <w:rPr>
          <w:rFonts w:ascii="Arial" w:hAnsi="Arial"/>
          <w:sz w:val="28"/>
        </w:rPr>
        <w:t>Западная Африка</w:t>
      </w:r>
    </w:p>
    <w:p w:rsidR="00EF6EB5" w:rsidRDefault="008E40CA">
      <w:pPr>
        <w:pStyle w:val="1"/>
        <w:numPr>
          <w:ilvl w:val="0"/>
          <w:numId w:val="7"/>
        </w:numPr>
        <w:rPr>
          <w:rFonts w:ascii="Arial" w:hAnsi="Arial"/>
          <w:sz w:val="28"/>
        </w:rPr>
      </w:pPr>
      <w:r>
        <w:rPr>
          <w:rFonts w:ascii="Arial" w:hAnsi="Arial"/>
          <w:sz w:val="28"/>
        </w:rPr>
        <w:t>Нефтепровод Чад-Камерун</w:t>
      </w:r>
    </w:p>
    <w:p w:rsidR="00EF6EB5" w:rsidRDefault="008E40CA">
      <w:pPr>
        <w:pStyle w:val="1"/>
        <w:numPr>
          <w:ilvl w:val="0"/>
          <w:numId w:val="7"/>
        </w:numPr>
        <w:rPr>
          <w:rFonts w:ascii="Arial" w:hAnsi="Arial"/>
          <w:sz w:val="28"/>
        </w:rPr>
      </w:pPr>
      <w:r>
        <w:rPr>
          <w:rFonts w:ascii="Arial" w:hAnsi="Arial"/>
          <w:sz w:val="28"/>
        </w:rPr>
        <w:t>Северная Африка</w:t>
      </w:r>
    </w:p>
    <w:p w:rsidR="00EF6EB5" w:rsidRDefault="008E40CA">
      <w:pPr>
        <w:pStyle w:val="1"/>
        <w:numPr>
          <w:ilvl w:val="0"/>
          <w:numId w:val="7"/>
        </w:numPr>
        <w:rPr>
          <w:rFonts w:ascii="Arial" w:hAnsi="Arial"/>
          <w:sz w:val="28"/>
        </w:rPr>
      </w:pPr>
      <w:r>
        <w:rPr>
          <w:rFonts w:ascii="Arial" w:hAnsi="Arial"/>
          <w:sz w:val="28"/>
        </w:rPr>
        <w:t>Заключение</w:t>
      </w:r>
    </w:p>
    <w:p w:rsidR="00EF6EB5" w:rsidRDefault="008E40CA">
      <w:pPr>
        <w:pStyle w:val="1"/>
        <w:rPr>
          <w:rFonts w:ascii="Arial" w:hAnsi="Arial"/>
          <w:sz w:val="28"/>
        </w:rPr>
      </w:pPr>
      <w:r>
        <w:rPr>
          <w:rFonts w:ascii="Arial" w:hAnsi="Arial"/>
          <w:sz w:val="28"/>
        </w:rPr>
        <w:t>Список литературы</w:t>
      </w: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8E40CA">
      <w:pPr>
        <w:pStyle w:val="1"/>
        <w:rPr>
          <w:b/>
          <w:i/>
          <w:sz w:val="28"/>
          <w:u w:val="single"/>
        </w:rPr>
      </w:pPr>
      <w:r>
        <w:rPr>
          <w:b/>
          <w:i/>
          <w:sz w:val="28"/>
          <w:u w:val="single"/>
        </w:rPr>
        <w:t>Введение</w:t>
      </w:r>
    </w:p>
    <w:p w:rsidR="00EF6EB5" w:rsidRDefault="008E40CA">
      <w:pPr>
        <w:pStyle w:val="1"/>
        <w:rPr>
          <w:sz w:val="26"/>
        </w:rPr>
      </w:pPr>
      <w:r>
        <w:rPr>
          <w:sz w:val="28"/>
        </w:rPr>
        <w:t>О</w:t>
      </w:r>
      <w:r>
        <w:rPr>
          <w:sz w:val="26"/>
        </w:rPr>
        <w:t>громный (30,3 млн км</w:t>
      </w:r>
      <w:r>
        <w:rPr>
          <w:sz w:val="26"/>
          <w:vertAlign w:val="superscript"/>
        </w:rPr>
        <w:t>2</w:t>
      </w:r>
      <w:r>
        <w:rPr>
          <w:sz w:val="26"/>
        </w:rPr>
        <w:t>, или 20% суши) африканский континент, недра которого еще далеко не полностью исследованы, хранит в себе большую часть мировых запасов золота, платины, алмазов, около четверти - урана и меди. Нефть и газ пока не входят в число главных богатств «черного континента», однако их доказанные запасы также достаточно значительны и составляют 10,3 млрд т (75,4 млрд баррелей) нефти и 10,2 трлн м</w:t>
      </w:r>
      <w:r>
        <w:rPr>
          <w:sz w:val="26"/>
          <w:vertAlign w:val="superscript"/>
        </w:rPr>
        <w:t>3</w:t>
      </w:r>
      <w:r>
        <w:rPr>
          <w:sz w:val="26"/>
        </w:rPr>
        <w:t xml:space="preserve"> природного газа (7,1 и 7% их общемирового объема соответственно). В 1998 г. в </w:t>
      </w:r>
      <w:r>
        <w:rPr>
          <w:i/>
          <w:sz w:val="26"/>
        </w:rPr>
        <w:t>Африке</w:t>
      </w:r>
      <w:r>
        <w:rPr>
          <w:sz w:val="26"/>
        </w:rPr>
        <w:t xml:space="preserve"> было добыто 2,7 млрд баррелей </w:t>
      </w:r>
      <w:r>
        <w:rPr>
          <w:i/>
          <w:sz w:val="26"/>
        </w:rPr>
        <w:t>нефти</w:t>
      </w:r>
      <w:r>
        <w:rPr>
          <w:sz w:val="26"/>
        </w:rPr>
        <w:t xml:space="preserve"> и 101,2 млрд м</w:t>
      </w:r>
      <w:r>
        <w:rPr>
          <w:sz w:val="26"/>
          <w:vertAlign w:val="superscript"/>
        </w:rPr>
        <w:t>3</w:t>
      </w:r>
      <w:r>
        <w:rPr>
          <w:sz w:val="26"/>
        </w:rPr>
        <w:t xml:space="preserve"> газа, что соответствует 10,2 и 4,5% их мирового производства. При этом за последние 9 лет добыча нефти увеличилась почти на 32%, а газа - более чем на 72%.</w:t>
      </w:r>
    </w:p>
    <w:p w:rsidR="00EF6EB5" w:rsidRDefault="008E40CA">
      <w:pPr>
        <w:pStyle w:val="1"/>
        <w:rPr>
          <w:rFonts w:ascii="Arial" w:hAnsi="Arial"/>
          <w:sz w:val="28"/>
        </w:rPr>
      </w:pPr>
      <w:r>
        <w:rPr>
          <w:rFonts w:ascii="Arial" w:hAnsi="Arial"/>
          <w:sz w:val="26"/>
        </w:rPr>
        <w:t xml:space="preserve">Обнаруженные углеводородные месторождения, по современным оценкам, распределены по территории континента крайне неравномерно. Во многом это является следствием слабой изученности африканских недр. Наиболее перспективным нефтеносным районом Африки считается континентальный шельф Гвинейского залива, который некоторые чрезмерно оптимистичные исследователи склонны даже сравнивать с Персидским. На долю стран Гвинейского залива в настоящее время приходится более 42% разведанных запасов африканской нефти. Согласно прогнозам, в ближайшие 5-10 лет эта цифра может заметно возрасти. В последние годы на различных глубинах прибрежных шельфовых зон Анголы, Конго, Экваториальной Гвинеи и Нигерии обнаружены крупные нефтяные и газовые месторождения. По мнению экспертов, значительные запасы углеводородов имеются также в Камеруне, Бенине, Кот д'Ивуаре, Габоне и Намибии. </w:t>
      </w:r>
    </w:p>
    <w:p w:rsidR="00EF6EB5" w:rsidRDefault="008E40CA">
      <w:pPr>
        <w:pStyle w:val="1"/>
        <w:rPr>
          <w:rFonts w:ascii="Arial CYR" w:hAnsi="Arial CYR"/>
          <w:b/>
          <w:i/>
          <w:sz w:val="28"/>
          <w:u w:val="single"/>
        </w:rPr>
      </w:pPr>
      <w:r>
        <w:rPr>
          <w:rFonts w:ascii="Arial" w:hAnsi="Arial"/>
          <w:b/>
          <w:i/>
          <w:sz w:val="28"/>
          <w:u w:val="single"/>
        </w:rPr>
        <w:t xml:space="preserve">Материковая Африка </w:t>
      </w:r>
    </w:p>
    <w:p w:rsidR="00EF6EB5" w:rsidRDefault="008E40CA">
      <w:pPr>
        <w:pStyle w:val="1"/>
        <w:rPr>
          <w:rFonts w:ascii="Arial" w:hAnsi="Arial"/>
          <w:sz w:val="26"/>
        </w:rPr>
      </w:pPr>
      <w:r>
        <w:rPr>
          <w:rFonts w:ascii="Arial" w:hAnsi="Arial"/>
          <w:sz w:val="26"/>
        </w:rPr>
        <w:t>Другим значимым нефтегазовым районом Африки являются материковая часть и континентальный шельф Египта, Алжира, Ливии и Туниса. Следует, однако, отметить, что в зарубежной литературе и СМИ северные (преимущественно арабские) страны обычно отделяются от остального континента и рассматриваются «в связке» с государствами Ближнего Востока. Оставшиеся же африканские страны, как правило, объединяются под термином sub-Saharian Africa, что можно перевести как «Африка южнее Сахары» (АЮС). Встречается также неофициальное название - «черная Африка».</w:t>
      </w:r>
    </w:p>
    <w:p w:rsidR="00EF6EB5" w:rsidRDefault="008E40CA">
      <w:pPr>
        <w:pStyle w:val="1"/>
        <w:rPr>
          <w:rFonts w:ascii="Arial CYR" w:hAnsi="Arial CYR"/>
          <w:sz w:val="26"/>
        </w:rPr>
      </w:pPr>
      <w:r>
        <w:rPr>
          <w:rFonts w:ascii="Arial" w:hAnsi="Arial"/>
          <w:sz w:val="26"/>
        </w:rPr>
        <w:t>Его границы, плавно огибая Гвинейский залив, протянулись почти на пять тысяч километров от Либерии на севере до Анголы на юге. По сравнению с остальными странами Африки, расположенными южнее Магриба, эти государства владеют значительными доказанными запасами углеводородного сырья, что позволяет им иметь достаточно развитую добывающую и перерабатывающую промышленность и экспортировать нефть в объеме, превышающем половину общеафриканского. Так, в 1998 г. суммарный экспорт этого сырья из стран Африки составил 5,2 млн баррелей в сутки, из которых 3,1 млн пришлись на долю Анголы, Габона, Камеруна, Конго (Браззавиль) и Нигерии. Среди них наибольшее количество нефти добывается в Нигерии (около 2,15 млн баррелей в сутки, то есть почти 29% общего объема), и Анголе (около 760 тыс. баррелей в сутки - 10%). В Габоне и Конго - 360 и 260 тыс. баррелей в сутки соответственно, а в Камеруне и Кот-д'Ивуаре (Берег Слоновой Кости) - до 100 тыс. В остальных же странах региона добыча нефти невелика (в совокупности - менее 150 тыс. баррелей в сутки), но в перспективе она может увеличиться в связи с наличием значительных запасов углеводородного сырья и ожидаемым ростом прямых иностранных инвестиций в ТЭК.</w:t>
      </w:r>
    </w:p>
    <w:p w:rsidR="00EF6EB5" w:rsidRDefault="008E40CA">
      <w:pPr>
        <w:pStyle w:val="1"/>
        <w:rPr>
          <w:rFonts w:ascii="Arial CYR" w:hAnsi="Arial CYR"/>
          <w:sz w:val="26"/>
        </w:rPr>
      </w:pPr>
      <w:r>
        <w:rPr>
          <w:rFonts w:ascii="Arial" w:hAnsi="Arial"/>
          <w:sz w:val="26"/>
        </w:rPr>
        <w:t xml:space="preserve">Тем не менее, Африка продолжает оставаться самым неблагополучным в социально-экономическом отношении континентом. Реальные годовые доходы среднестатистического африканца, проживающего к югу от Сахары, упали (в ценах 1987 г.) с 670 долларов в 1973 г. до 520 долларов в 1998 г., тогда как аналогичный усредненный показатель для развивающихся стран за тот же период вырос на 50%. Темпы экономического развития подавляющего большинства африканских стран в 1998 г. также снизились (только в семи государствах прирост ВВП на душу населения превысил 3%). В основном это было связано с общим снижением темпов развития ми ровой экономики, неблагоприятной конъюнктурой цен на ряд сырьевых и сельскохозяйственных товаров (спад на 15% без учета продукции ТЭК) и в меньшей степени - с последствиями азиатского валютно-финансового кризиса. По данным журнала Africa Recovery, в 1998 г. прирост совокупного ВВП стран континента составил 2,6%. По расчетам же МБРР, в условиях быстро растущей численности населения для обеспечения заметного социального прогресса этот показатель должен быть не ниже 8%. </w:t>
      </w:r>
    </w:p>
    <w:p w:rsidR="00EF6EB5" w:rsidRDefault="008E40CA">
      <w:pPr>
        <w:pStyle w:val="1"/>
        <w:rPr>
          <w:rFonts w:ascii="Arial" w:hAnsi="Arial"/>
          <w:sz w:val="28"/>
        </w:rPr>
      </w:pPr>
      <w:r>
        <w:rPr>
          <w:rFonts w:ascii="Arial" w:hAnsi="Arial"/>
          <w:sz w:val="26"/>
        </w:rPr>
        <w:t xml:space="preserve">Среди стран региона только Камерун (главным образом, благодаря притоку иностранных инвестиций) смог добиться прироста ВВП более чем на 5%. Большие трудности для африканцев представляют недостаточная диверсификация экономики и чрезвычайная нестабильность цен на их традиционные экспортные товары (70% из которых относится к сырьевой группе). В области внешнеэкономических связей сохраняется сильная зависимость от государств, расположенных за пределами континента (преимущественно, бывших метрополий). </w:t>
      </w:r>
    </w:p>
    <w:p w:rsidR="00EF6EB5" w:rsidRDefault="00EF6EB5">
      <w:pPr>
        <w:pStyle w:val="1"/>
        <w:rPr>
          <w:sz w:val="28"/>
        </w:rPr>
      </w:pPr>
    </w:p>
    <w:p w:rsidR="00EF6EB5" w:rsidRDefault="00EF6EB5">
      <w:pPr>
        <w:pStyle w:val="1"/>
        <w:rPr>
          <w:sz w:val="28"/>
        </w:rPr>
      </w:pPr>
    </w:p>
    <w:p w:rsidR="00EF6EB5" w:rsidRDefault="008E40CA">
      <w:pPr>
        <w:pStyle w:val="1"/>
        <w:rPr>
          <w:b/>
          <w:i/>
          <w:sz w:val="28"/>
          <w:u w:val="single"/>
        </w:rPr>
      </w:pPr>
      <w:r>
        <w:rPr>
          <w:b/>
          <w:i/>
          <w:sz w:val="28"/>
          <w:u w:val="single"/>
        </w:rPr>
        <w:t>Западная Африка</w:t>
      </w:r>
    </w:p>
    <w:p w:rsidR="00EF6EB5" w:rsidRDefault="008E40CA">
      <w:pPr>
        <w:pStyle w:val="1"/>
        <w:rPr>
          <w:sz w:val="26"/>
        </w:rPr>
      </w:pPr>
      <w:r>
        <w:rPr>
          <w:sz w:val="26"/>
        </w:rPr>
        <w:t>Обширная акватория Западной Африки, протянувшаяся от Марокко до бассейна реки Оранжевой, является местом повышенной активности крупных нефтяных корпораций. Главный нефтедобывающий бассейн составляет Гвинейский залив (его большая часть является территориальными водами Нигерии). Здесь добывается 106 млн т (1998 г.) - около трети общего производства нефти в Африке. В Гвинейском заливе и других бассейнах этой "пассивной" окраины известно 160 месторождений. В последние годы западные компании ведут (по соглашениям со странами, владеющими акваторией) активные работы по поискам нефти на континентальном склоне залива на глубине до 2 тыс. м. Так, на глубине 1450 м пробурена скважина, вскрывшая пачку нефтеносных песчаников толщиной 420 м. Работы финансируются концерном Texaco и другими компаниями.</w:t>
      </w:r>
    </w:p>
    <w:p w:rsidR="00EF6EB5" w:rsidRDefault="008E40CA">
      <w:pPr>
        <w:pStyle w:val="1"/>
        <w:rPr>
          <w:sz w:val="28"/>
        </w:rPr>
      </w:pPr>
      <w:r>
        <w:rPr>
          <w:sz w:val="26"/>
        </w:rPr>
        <w:t>Девять стран  Западной Африки импортируют нефтепродукты  Бенин, Буркина-Фасо, Гвинея-Бисау, Мали, Нигер, Того, ЦАР, Чад и Экваториальная Гвинея.</w:t>
      </w:r>
    </w:p>
    <w:p w:rsidR="00EF6EB5" w:rsidRDefault="00EF6EB5">
      <w:pPr>
        <w:pStyle w:val="1"/>
        <w:rPr>
          <w:rFonts w:ascii="Arial CYR" w:hAnsi="Arial CYR"/>
          <w:sz w:val="28"/>
        </w:rPr>
      </w:pPr>
    </w:p>
    <w:tbl>
      <w:tblPr>
        <w:tblW w:w="0" w:type="auto"/>
        <w:jc w:val="center"/>
        <w:tblBorders>
          <w:top w:val="threeDEmboss" w:sz="6" w:space="0" w:color="000000"/>
          <w:left w:val="threeDEmboss" w:sz="6" w:space="0" w:color="000000"/>
          <w:bottom w:val="threeDEmboss" w:sz="6" w:space="0" w:color="000000"/>
          <w:right w:val="threeDEmboss" w:sz="6" w:space="0" w:color="000000"/>
          <w:insideH w:val="threeDEmboss" w:sz="6" w:space="0" w:color="000000"/>
          <w:insideV w:val="threeDEmboss" w:sz="6" w:space="0" w:color="000000"/>
        </w:tblBorders>
        <w:tblLayout w:type="fixed"/>
        <w:tblCellMar>
          <w:left w:w="15" w:type="dxa"/>
          <w:right w:w="15" w:type="dxa"/>
        </w:tblCellMar>
        <w:tblLook w:val="0000" w:firstRow="0" w:lastRow="0" w:firstColumn="0" w:lastColumn="0" w:noHBand="0" w:noVBand="0"/>
      </w:tblPr>
      <w:tblGrid>
        <w:gridCol w:w="2414"/>
        <w:gridCol w:w="1276"/>
        <w:gridCol w:w="1134"/>
        <w:gridCol w:w="425"/>
        <w:gridCol w:w="426"/>
        <w:gridCol w:w="425"/>
        <w:gridCol w:w="425"/>
        <w:gridCol w:w="425"/>
        <w:gridCol w:w="426"/>
        <w:gridCol w:w="567"/>
        <w:gridCol w:w="567"/>
        <w:gridCol w:w="425"/>
        <w:gridCol w:w="428"/>
      </w:tblGrid>
      <w:tr w:rsidR="009A5AD7" w:rsidTr="009A5AD7">
        <w:trPr>
          <w:trHeight w:val="795"/>
          <w:jc w:val="center"/>
        </w:trPr>
        <w:tc>
          <w:tcPr>
            <w:tcW w:w="9363" w:type="dxa"/>
            <w:gridSpan w:val="13"/>
            <w:vAlign w:val="center"/>
          </w:tcPr>
          <w:p w:rsidR="00EF6EB5" w:rsidRDefault="008E40CA">
            <w:pPr>
              <w:pStyle w:val="1"/>
              <w:jc w:val="center"/>
              <w:rPr>
                <w:rFonts w:ascii="Arial" w:hAnsi="Arial"/>
                <w:sz w:val="28"/>
              </w:rPr>
            </w:pPr>
            <w:r>
              <w:rPr>
                <w:rFonts w:ascii="Arial" w:hAnsi="Arial"/>
                <w:sz w:val="28"/>
              </w:rPr>
              <w:t>Рейтинги инвестиционной привлекательности нефтеперерабатывающих стран Западной Африки</w:t>
            </w:r>
          </w:p>
          <w:p w:rsidR="00EF6EB5" w:rsidRDefault="00EF6EB5">
            <w:pPr>
              <w:pStyle w:val="1"/>
              <w:jc w:val="center"/>
              <w:rPr>
                <w:rFonts w:ascii="Arial CYR" w:hAnsi="Arial CYR"/>
              </w:rPr>
            </w:pPr>
          </w:p>
        </w:tc>
      </w:tr>
      <w:tr w:rsidR="00EF6EB5">
        <w:trPr>
          <w:jc w:val="center"/>
        </w:trPr>
        <w:tc>
          <w:tcPr>
            <w:tcW w:w="2414" w:type="dxa"/>
            <w:vAlign w:val="center"/>
          </w:tcPr>
          <w:p w:rsidR="00EF6EB5" w:rsidRDefault="008E40CA">
            <w:pPr>
              <w:pStyle w:val="1"/>
              <w:jc w:val="center"/>
              <w:rPr>
                <w:rFonts w:ascii="Arial CYR" w:hAnsi="Arial CYR"/>
              </w:rPr>
            </w:pPr>
            <w:r>
              <w:rPr>
                <w:rFonts w:ascii="Arial" w:hAnsi="Arial"/>
              </w:rPr>
              <w:t>Страна</w:t>
            </w:r>
          </w:p>
        </w:tc>
        <w:tc>
          <w:tcPr>
            <w:tcW w:w="1276" w:type="dxa"/>
            <w:vAlign w:val="center"/>
          </w:tcPr>
          <w:p w:rsidR="00EF6EB5" w:rsidRDefault="008E40CA">
            <w:pPr>
              <w:pStyle w:val="1"/>
              <w:jc w:val="center"/>
              <w:rPr>
                <w:rFonts w:ascii="Arial CYR" w:hAnsi="Arial CYR"/>
              </w:rPr>
            </w:pPr>
            <w:r>
              <w:rPr>
                <w:rFonts w:ascii="Arial" w:hAnsi="Arial"/>
              </w:rPr>
              <w:t>Место</w:t>
            </w:r>
            <w:r>
              <w:rPr>
                <w:rFonts w:ascii="Arial" w:hAnsi="Arial"/>
              </w:rPr>
              <w:br/>
              <w:t>в мире</w:t>
            </w:r>
          </w:p>
        </w:tc>
        <w:tc>
          <w:tcPr>
            <w:tcW w:w="1134" w:type="dxa"/>
            <w:vAlign w:val="center"/>
          </w:tcPr>
          <w:p w:rsidR="00EF6EB5" w:rsidRDefault="008E40CA">
            <w:pPr>
              <w:pStyle w:val="1"/>
              <w:jc w:val="center"/>
              <w:rPr>
                <w:rFonts w:ascii="Arial CYR" w:hAnsi="Arial CYR"/>
              </w:rPr>
            </w:pPr>
            <w:r>
              <w:rPr>
                <w:rFonts w:ascii="Arial" w:hAnsi="Arial"/>
              </w:rPr>
              <w:t>Индекс</w:t>
            </w:r>
            <w:r>
              <w:rPr>
                <w:rFonts w:ascii="Arial" w:hAnsi="Arial"/>
              </w:rPr>
              <w:br/>
              <w:t>"свободы"</w:t>
            </w:r>
          </w:p>
        </w:tc>
        <w:tc>
          <w:tcPr>
            <w:tcW w:w="425" w:type="dxa"/>
            <w:vAlign w:val="center"/>
          </w:tcPr>
          <w:p w:rsidR="00EF6EB5" w:rsidRDefault="008E40CA">
            <w:pPr>
              <w:pStyle w:val="1"/>
              <w:jc w:val="center"/>
              <w:rPr>
                <w:rFonts w:ascii="Arial CYR" w:hAnsi="Arial CYR"/>
              </w:rPr>
            </w:pPr>
            <w:r>
              <w:rPr>
                <w:rFonts w:ascii="Arial" w:hAnsi="Arial"/>
              </w:rPr>
              <w:t>I</w:t>
            </w:r>
          </w:p>
        </w:tc>
        <w:tc>
          <w:tcPr>
            <w:tcW w:w="426" w:type="dxa"/>
            <w:vAlign w:val="center"/>
          </w:tcPr>
          <w:p w:rsidR="00EF6EB5" w:rsidRDefault="008E40CA">
            <w:pPr>
              <w:pStyle w:val="1"/>
              <w:jc w:val="center"/>
              <w:rPr>
                <w:rFonts w:ascii="Arial CYR" w:hAnsi="Arial CYR"/>
              </w:rPr>
            </w:pPr>
            <w:r>
              <w:rPr>
                <w:rFonts w:ascii="Arial" w:hAnsi="Arial"/>
              </w:rPr>
              <w:t>II</w:t>
            </w:r>
          </w:p>
        </w:tc>
        <w:tc>
          <w:tcPr>
            <w:tcW w:w="425" w:type="dxa"/>
            <w:vAlign w:val="center"/>
          </w:tcPr>
          <w:p w:rsidR="00EF6EB5" w:rsidRDefault="008E40CA">
            <w:pPr>
              <w:pStyle w:val="1"/>
              <w:jc w:val="center"/>
              <w:rPr>
                <w:rFonts w:ascii="Arial CYR" w:hAnsi="Arial CYR"/>
              </w:rPr>
            </w:pPr>
            <w:r>
              <w:rPr>
                <w:rFonts w:ascii="Arial" w:hAnsi="Arial"/>
              </w:rPr>
              <w:t>III</w:t>
            </w:r>
          </w:p>
        </w:tc>
        <w:tc>
          <w:tcPr>
            <w:tcW w:w="425" w:type="dxa"/>
            <w:vAlign w:val="center"/>
          </w:tcPr>
          <w:p w:rsidR="00EF6EB5" w:rsidRDefault="008E40CA">
            <w:pPr>
              <w:pStyle w:val="1"/>
              <w:jc w:val="center"/>
              <w:rPr>
                <w:rFonts w:ascii="Arial CYR" w:hAnsi="Arial CYR"/>
              </w:rPr>
            </w:pPr>
            <w:r>
              <w:rPr>
                <w:rFonts w:ascii="Arial" w:hAnsi="Arial"/>
              </w:rPr>
              <w:t>IV</w:t>
            </w:r>
          </w:p>
        </w:tc>
        <w:tc>
          <w:tcPr>
            <w:tcW w:w="425" w:type="dxa"/>
            <w:vAlign w:val="center"/>
          </w:tcPr>
          <w:p w:rsidR="00EF6EB5" w:rsidRDefault="008E40CA">
            <w:pPr>
              <w:pStyle w:val="1"/>
              <w:jc w:val="center"/>
              <w:rPr>
                <w:rFonts w:ascii="Arial CYR" w:hAnsi="Arial CYR"/>
              </w:rPr>
            </w:pPr>
            <w:r>
              <w:rPr>
                <w:rFonts w:ascii="Arial" w:hAnsi="Arial"/>
              </w:rPr>
              <w:t>V</w:t>
            </w:r>
          </w:p>
        </w:tc>
        <w:tc>
          <w:tcPr>
            <w:tcW w:w="426" w:type="dxa"/>
            <w:vAlign w:val="center"/>
          </w:tcPr>
          <w:p w:rsidR="00EF6EB5" w:rsidRDefault="008E40CA">
            <w:pPr>
              <w:pStyle w:val="1"/>
              <w:jc w:val="center"/>
              <w:rPr>
                <w:rFonts w:ascii="Arial CYR" w:hAnsi="Arial CYR"/>
              </w:rPr>
            </w:pPr>
            <w:r>
              <w:rPr>
                <w:rFonts w:ascii="Arial" w:hAnsi="Arial"/>
              </w:rPr>
              <w:t>VI</w:t>
            </w:r>
          </w:p>
        </w:tc>
        <w:tc>
          <w:tcPr>
            <w:tcW w:w="567" w:type="dxa"/>
            <w:vAlign w:val="center"/>
          </w:tcPr>
          <w:p w:rsidR="00EF6EB5" w:rsidRDefault="008E40CA">
            <w:pPr>
              <w:pStyle w:val="1"/>
              <w:jc w:val="center"/>
              <w:rPr>
                <w:rFonts w:ascii="Arial CYR" w:hAnsi="Arial CYR"/>
              </w:rPr>
            </w:pPr>
            <w:r>
              <w:rPr>
                <w:rFonts w:ascii="Arial" w:hAnsi="Arial"/>
              </w:rPr>
              <w:t>VII</w:t>
            </w:r>
          </w:p>
        </w:tc>
        <w:tc>
          <w:tcPr>
            <w:tcW w:w="567" w:type="dxa"/>
            <w:vAlign w:val="center"/>
          </w:tcPr>
          <w:p w:rsidR="00EF6EB5" w:rsidRDefault="008E40CA">
            <w:pPr>
              <w:pStyle w:val="1"/>
              <w:jc w:val="center"/>
              <w:rPr>
                <w:rFonts w:ascii="Arial CYR" w:hAnsi="Arial CYR"/>
              </w:rPr>
            </w:pPr>
            <w:r>
              <w:rPr>
                <w:rFonts w:ascii="Arial" w:hAnsi="Arial"/>
              </w:rPr>
              <w:t>VIII</w:t>
            </w:r>
          </w:p>
        </w:tc>
        <w:tc>
          <w:tcPr>
            <w:tcW w:w="425" w:type="dxa"/>
            <w:vAlign w:val="center"/>
          </w:tcPr>
          <w:p w:rsidR="00EF6EB5" w:rsidRDefault="008E40CA">
            <w:pPr>
              <w:pStyle w:val="1"/>
              <w:jc w:val="center"/>
              <w:rPr>
                <w:rFonts w:ascii="Arial CYR" w:hAnsi="Arial CYR"/>
              </w:rPr>
            </w:pPr>
            <w:r>
              <w:rPr>
                <w:rFonts w:ascii="Arial" w:hAnsi="Arial"/>
              </w:rPr>
              <w:t>IX</w:t>
            </w:r>
          </w:p>
        </w:tc>
        <w:tc>
          <w:tcPr>
            <w:tcW w:w="428" w:type="dxa"/>
            <w:vAlign w:val="center"/>
          </w:tcPr>
          <w:p w:rsidR="00EF6EB5" w:rsidRDefault="008E40CA">
            <w:pPr>
              <w:pStyle w:val="1"/>
              <w:jc w:val="center"/>
              <w:rPr>
                <w:rFonts w:ascii="Arial CYR" w:hAnsi="Arial CYR"/>
              </w:rPr>
            </w:pPr>
            <w:r>
              <w:rPr>
                <w:rFonts w:ascii="Arial" w:hAnsi="Arial"/>
              </w:rPr>
              <w:t>X</w:t>
            </w:r>
          </w:p>
        </w:tc>
      </w:tr>
      <w:tr w:rsidR="009A5AD7" w:rsidTr="009A5AD7">
        <w:trPr>
          <w:jc w:val="center"/>
        </w:trPr>
        <w:tc>
          <w:tcPr>
            <w:tcW w:w="9363" w:type="dxa"/>
            <w:gridSpan w:val="13"/>
            <w:vAlign w:val="center"/>
          </w:tcPr>
          <w:p w:rsidR="00EF6EB5" w:rsidRDefault="008E40CA">
            <w:pPr>
              <w:pStyle w:val="1"/>
              <w:rPr>
                <w:rFonts w:ascii="Arial CYR" w:hAnsi="Arial CYR"/>
              </w:rPr>
            </w:pPr>
            <w:r>
              <w:rPr>
                <w:rFonts w:ascii="Arial" w:hAnsi="Arial"/>
              </w:rPr>
              <w:t>Государства, имеющие "в основном свободную" экономику</w:t>
            </w:r>
          </w:p>
        </w:tc>
      </w:tr>
      <w:tr w:rsidR="00EF6EB5">
        <w:trPr>
          <w:jc w:val="center"/>
        </w:trPr>
        <w:tc>
          <w:tcPr>
            <w:tcW w:w="2414" w:type="dxa"/>
            <w:vAlign w:val="center"/>
          </w:tcPr>
          <w:p w:rsidR="00EF6EB5" w:rsidRDefault="008E40CA">
            <w:pPr>
              <w:pStyle w:val="1"/>
              <w:rPr>
                <w:rFonts w:ascii="Arial CYR" w:hAnsi="Arial CYR"/>
              </w:rPr>
            </w:pPr>
            <w:r>
              <w:rPr>
                <w:rFonts w:ascii="Arial" w:hAnsi="Arial"/>
              </w:rPr>
              <w:t>Бенин</w:t>
            </w:r>
          </w:p>
        </w:tc>
        <w:tc>
          <w:tcPr>
            <w:tcW w:w="1276" w:type="dxa"/>
            <w:vAlign w:val="center"/>
          </w:tcPr>
          <w:p w:rsidR="00EF6EB5" w:rsidRDefault="008E40CA">
            <w:pPr>
              <w:pStyle w:val="1"/>
              <w:rPr>
                <w:rFonts w:ascii="Arial CYR" w:hAnsi="Arial CYR"/>
              </w:rPr>
            </w:pPr>
            <w:r>
              <w:rPr>
                <w:rFonts w:ascii="Arial" w:hAnsi="Arial"/>
              </w:rPr>
              <w:t>61</w:t>
            </w:r>
          </w:p>
        </w:tc>
        <w:tc>
          <w:tcPr>
            <w:tcW w:w="1134" w:type="dxa"/>
            <w:vAlign w:val="center"/>
          </w:tcPr>
          <w:p w:rsidR="00EF6EB5" w:rsidRDefault="008E40CA">
            <w:pPr>
              <w:pStyle w:val="1"/>
              <w:rPr>
                <w:rFonts w:ascii="Arial CYR" w:hAnsi="Arial CYR"/>
              </w:rPr>
            </w:pPr>
            <w:r>
              <w:rPr>
                <w:rFonts w:ascii="Arial" w:hAnsi="Arial"/>
              </w:rPr>
              <w:t>2,09</w:t>
            </w:r>
          </w:p>
        </w:tc>
        <w:tc>
          <w:tcPr>
            <w:tcW w:w="425" w:type="dxa"/>
            <w:vAlign w:val="center"/>
          </w:tcPr>
          <w:p w:rsidR="00EF6EB5" w:rsidRDefault="008E40CA">
            <w:pPr>
              <w:pStyle w:val="1"/>
              <w:rPr>
                <w:rFonts w:ascii="Arial CYR" w:hAnsi="Arial CYR"/>
              </w:rPr>
            </w:pPr>
            <w:r>
              <w:rPr>
                <w:rFonts w:ascii="Arial" w:hAnsi="Arial"/>
              </w:rPr>
              <w:t>4</w:t>
            </w:r>
          </w:p>
        </w:tc>
        <w:tc>
          <w:tcPr>
            <w:tcW w:w="426" w:type="dxa"/>
            <w:vAlign w:val="center"/>
          </w:tcPr>
          <w:p w:rsidR="00EF6EB5" w:rsidRDefault="008E40CA">
            <w:pPr>
              <w:pStyle w:val="1"/>
              <w:rPr>
                <w:rFonts w:ascii="Arial CYR" w:hAnsi="Arial CYR"/>
              </w:rPr>
            </w:pPr>
            <w:r>
              <w:rPr>
                <w:rFonts w:ascii="Arial" w:hAnsi="Arial"/>
              </w:rPr>
              <w:t>2</w:t>
            </w:r>
          </w:p>
        </w:tc>
        <w:tc>
          <w:tcPr>
            <w:tcW w:w="425" w:type="dxa"/>
            <w:vAlign w:val="center"/>
          </w:tcPr>
          <w:p w:rsidR="00EF6EB5" w:rsidRDefault="008E40CA">
            <w:pPr>
              <w:pStyle w:val="1"/>
              <w:rPr>
                <w:rFonts w:ascii="Arial CYR" w:hAnsi="Arial CYR"/>
              </w:rPr>
            </w:pPr>
            <w:r>
              <w:rPr>
                <w:rFonts w:ascii="Arial" w:hAnsi="Arial"/>
              </w:rPr>
              <w:t>2</w:t>
            </w:r>
          </w:p>
        </w:tc>
        <w:tc>
          <w:tcPr>
            <w:tcW w:w="425" w:type="dxa"/>
            <w:vAlign w:val="center"/>
          </w:tcPr>
          <w:p w:rsidR="00EF6EB5" w:rsidRDefault="008E40CA">
            <w:pPr>
              <w:pStyle w:val="1"/>
              <w:rPr>
                <w:rFonts w:ascii="Arial CYR" w:hAnsi="Arial CYR"/>
              </w:rPr>
            </w:pPr>
            <w:r>
              <w:rPr>
                <w:rFonts w:ascii="Arial" w:hAnsi="Arial"/>
              </w:rPr>
              <w:t>2</w:t>
            </w:r>
          </w:p>
        </w:tc>
        <w:tc>
          <w:tcPr>
            <w:tcW w:w="425" w:type="dxa"/>
            <w:vAlign w:val="center"/>
          </w:tcPr>
          <w:p w:rsidR="00EF6EB5" w:rsidRDefault="008E40CA">
            <w:pPr>
              <w:pStyle w:val="1"/>
              <w:rPr>
                <w:rFonts w:ascii="Arial CYR" w:hAnsi="Arial CYR"/>
              </w:rPr>
            </w:pPr>
            <w:r>
              <w:rPr>
                <w:rFonts w:ascii="Arial" w:hAnsi="Arial"/>
              </w:rPr>
              <w:t>3</w:t>
            </w:r>
          </w:p>
        </w:tc>
        <w:tc>
          <w:tcPr>
            <w:tcW w:w="426" w:type="dxa"/>
            <w:vAlign w:val="center"/>
          </w:tcPr>
          <w:p w:rsidR="00EF6EB5" w:rsidRDefault="008E40CA">
            <w:pPr>
              <w:pStyle w:val="1"/>
              <w:rPr>
                <w:rFonts w:ascii="Arial CYR" w:hAnsi="Arial CYR"/>
              </w:rPr>
            </w:pPr>
            <w:r>
              <w:rPr>
                <w:rFonts w:ascii="Arial" w:hAnsi="Arial"/>
              </w:rPr>
              <w:t>3</w:t>
            </w:r>
          </w:p>
        </w:tc>
        <w:tc>
          <w:tcPr>
            <w:tcW w:w="567" w:type="dxa"/>
            <w:vAlign w:val="center"/>
          </w:tcPr>
          <w:p w:rsidR="00EF6EB5" w:rsidRDefault="008E40CA">
            <w:pPr>
              <w:pStyle w:val="1"/>
              <w:rPr>
                <w:rFonts w:ascii="Arial CYR" w:hAnsi="Arial CYR"/>
              </w:rPr>
            </w:pPr>
            <w:r>
              <w:rPr>
                <w:rFonts w:ascii="Arial" w:hAnsi="Arial"/>
              </w:rPr>
              <w:t>3</w:t>
            </w:r>
          </w:p>
        </w:tc>
        <w:tc>
          <w:tcPr>
            <w:tcW w:w="567" w:type="dxa"/>
            <w:vAlign w:val="center"/>
          </w:tcPr>
          <w:p w:rsidR="00EF6EB5" w:rsidRDefault="008E40CA">
            <w:pPr>
              <w:pStyle w:val="1"/>
              <w:rPr>
                <w:rFonts w:ascii="Arial CYR" w:hAnsi="Arial CYR"/>
              </w:rPr>
            </w:pPr>
            <w:r>
              <w:rPr>
                <w:rFonts w:ascii="Arial" w:hAnsi="Arial"/>
              </w:rPr>
              <w:t>3</w:t>
            </w:r>
          </w:p>
        </w:tc>
        <w:tc>
          <w:tcPr>
            <w:tcW w:w="425" w:type="dxa"/>
            <w:vAlign w:val="center"/>
          </w:tcPr>
          <w:p w:rsidR="00EF6EB5" w:rsidRDefault="008E40CA">
            <w:pPr>
              <w:pStyle w:val="1"/>
              <w:rPr>
                <w:rFonts w:ascii="Arial CYR" w:hAnsi="Arial CYR"/>
              </w:rPr>
            </w:pPr>
            <w:r>
              <w:rPr>
                <w:rFonts w:ascii="Arial" w:hAnsi="Arial"/>
              </w:rPr>
              <w:t>3</w:t>
            </w:r>
          </w:p>
        </w:tc>
        <w:tc>
          <w:tcPr>
            <w:tcW w:w="428" w:type="dxa"/>
            <w:vAlign w:val="center"/>
          </w:tcPr>
          <w:p w:rsidR="00EF6EB5" w:rsidRDefault="008E40CA">
            <w:pPr>
              <w:pStyle w:val="1"/>
              <w:rPr>
                <w:rFonts w:ascii="Arial CYR" w:hAnsi="Arial CYR"/>
              </w:rPr>
            </w:pPr>
            <w:r>
              <w:rPr>
                <w:rFonts w:ascii="Arial" w:hAnsi="Arial"/>
              </w:rPr>
              <w:t>4</w:t>
            </w:r>
          </w:p>
        </w:tc>
      </w:tr>
      <w:tr w:rsidR="00EF6EB5">
        <w:trPr>
          <w:jc w:val="center"/>
        </w:trPr>
        <w:tc>
          <w:tcPr>
            <w:tcW w:w="2414" w:type="dxa"/>
            <w:vAlign w:val="center"/>
          </w:tcPr>
          <w:p w:rsidR="00EF6EB5" w:rsidRDefault="008E40CA">
            <w:pPr>
              <w:pStyle w:val="1"/>
              <w:rPr>
                <w:rFonts w:ascii="Arial CYR" w:hAnsi="Arial CYR"/>
              </w:rPr>
            </w:pPr>
            <w:r>
              <w:rPr>
                <w:rFonts w:ascii="Arial" w:hAnsi="Arial"/>
              </w:rPr>
              <w:t>Габон</w:t>
            </w:r>
          </w:p>
        </w:tc>
        <w:tc>
          <w:tcPr>
            <w:tcW w:w="1276" w:type="dxa"/>
            <w:vAlign w:val="center"/>
          </w:tcPr>
          <w:p w:rsidR="00EF6EB5" w:rsidRDefault="008E40CA">
            <w:pPr>
              <w:pStyle w:val="1"/>
              <w:rPr>
                <w:rFonts w:ascii="Arial CYR" w:hAnsi="Arial CYR"/>
              </w:rPr>
            </w:pPr>
            <w:r>
              <w:rPr>
                <w:rFonts w:ascii="Arial" w:hAnsi="Arial"/>
              </w:rPr>
              <w:t>84</w:t>
            </w:r>
          </w:p>
        </w:tc>
        <w:tc>
          <w:tcPr>
            <w:tcW w:w="1134" w:type="dxa"/>
            <w:vAlign w:val="center"/>
          </w:tcPr>
          <w:p w:rsidR="00EF6EB5" w:rsidRDefault="008E40CA">
            <w:pPr>
              <w:pStyle w:val="1"/>
              <w:rPr>
                <w:rFonts w:ascii="Arial CYR" w:hAnsi="Arial CYR"/>
              </w:rPr>
            </w:pPr>
            <w:r>
              <w:rPr>
                <w:rFonts w:ascii="Arial" w:hAnsi="Arial"/>
              </w:rPr>
              <w:t>3,10</w:t>
            </w:r>
          </w:p>
        </w:tc>
        <w:tc>
          <w:tcPr>
            <w:tcW w:w="425" w:type="dxa"/>
            <w:vAlign w:val="center"/>
          </w:tcPr>
          <w:p w:rsidR="00EF6EB5" w:rsidRDefault="008E40CA">
            <w:pPr>
              <w:pStyle w:val="1"/>
              <w:rPr>
                <w:rFonts w:ascii="Arial CYR" w:hAnsi="Arial CYR"/>
              </w:rPr>
            </w:pPr>
            <w:r>
              <w:rPr>
                <w:rFonts w:ascii="Arial" w:hAnsi="Arial"/>
              </w:rPr>
              <w:t>5</w:t>
            </w:r>
          </w:p>
        </w:tc>
        <w:tc>
          <w:tcPr>
            <w:tcW w:w="426" w:type="dxa"/>
            <w:vAlign w:val="center"/>
          </w:tcPr>
          <w:p w:rsidR="00EF6EB5" w:rsidRDefault="008E40CA">
            <w:pPr>
              <w:pStyle w:val="1"/>
              <w:rPr>
                <w:rFonts w:ascii="Arial CYR" w:hAnsi="Arial CYR"/>
              </w:rPr>
            </w:pPr>
            <w:r>
              <w:rPr>
                <w:rFonts w:ascii="Arial" w:hAnsi="Arial"/>
              </w:rPr>
              <w:t>4</w:t>
            </w:r>
          </w:p>
        </w:tc>
        <w:tc>
          <w:tcPr>
            <w:tcW w:w="425" w:type="dxa"/>
            <w:vAlign w:val="center"/>
          </w:tcPr>
          <w:p w:rsidR="00EF6EB5" w:rsidRDefault="008E40CA">
            <w:pPr>
              <w:pStyle w:val="1"/>
              <w:rPr>
                <w:rFonts w:ascii="Arial CYR" w:hAnsi="Arial CYR"/>
              </w:rPr>
            </w:pPr>
            <w:r>
              <w:rPr>
                <w:rFonts w:ascii="Arial" w:hAnsi="Arial"/>
              </w:rPr>
              <w:t>3</w:t>
            </w:r>
          </w:p>
        </w:tc>
        <w:tc>
          <w:tcPr>
            <w:tcW w:w="425" w:type="dxa"/>
            <w:vAlign w:val="center"/>
          </w:tcPr>
          <w:p w:rsidR="00EF6EB5" w:rsidRDefault="008E40CA">
            <w:pPr>
              <w:pStyle w:val="1"/>
              <w:rPr>
                <w:rFonts w:ascii="Arial CYR" w:hAnsi="Arial CYR"/>
              </w:rPr>
            </w:pPr>
            <w:r>
              <w:rPr>
                <w:rFonts w:ascii="Arial" w:hAnsi="Arial"/>
              </w:rPr>
              <w:t>2</w:t>
            </w:r>
          </w:p>
        </w:tc>
        <w:tc>
          <w:tcPr>
            <w:tcW w:w="425" w:type="dxa"/>
            <w:vAlign w:val="center"/>
          </w:tcPr>
          <w:p w:rsidR="00EF6EB5" w:rsidRDefault="008E40CA">
            <w:pPr>
              <w:pStyle w:val="1"/>
              <w:rPr>
                <w:rFonts w:ascii="Arial CYR" w:hAnsi="Arial CYR"/>
              </w:rPr>
            </w:pPr>
            <w:r>
              <w:rPr>
                <w:rFonts w:ascii="Arial" w:hAnsi="Arial"/>
              </w:rPr>
              <w:t>3</w:t>
            </w:r>
          </w:p>
        </w:tc>
        <w:tc>
          <w:tcPr>
            <w:tcW w:w="426" w:type="dxa"/>
            <w:vAlign w:val="center"/>
          </w:tcPr>
          <w:p w:rsidR="00EF6EB5" w:rsidRDefault="008E40CA">
            <w:pPr>
              <w:pStyle w:val="1"/>
              <w:rPr>
                <w:rFonts w:ascii="Arial CYR" w:hAnsi="Arial CYR"/>
              </w:rPr>
            </w:pPr>
            <w:r>
              <w:rPr>
                <w:rFonts w:ascii="Arial" w:hAnsi="Arial"/>
              </w:rPr>
              <w:t>2</w:t>
            </w:r>
          </w:p>
        </w:tc>
        <w:tc>
          <w:tcPr>
            <w:tcW w:w="567" w:type="dxa"/>
            <w:vAlign w:val="center"/>
          </w:tcPr>
          <w:p w:rsidR="00EF6EB5" w:rsidRDefault="008E40CA">
            <w:pPr>
              <w:pStyle w:val="1"/>
              <w:rPr>
                <w:rFonts w:ascii="Arial CYR" w:hAnsi="Arial CYR"/>
              </w:rPr>
            </w:pPr>
            <w:r>
              <w:rPr>
                <w:rFonts w:ascii="Arial" w:hAnsi="Arial"/>
              </w:rPr>
              <w:t>3</w:t>
            </w:r>
          </w:p>
        </w:tc>
        <w:tc>
          <w:tcPr>
            <w:tcW w:w="567" w:type="dxa"/>
            <w:vAlign w:val="center"/>
          </w:tcPr>
          <w:p w:rsidR="00EF6EB5" w:rsidRDefault="008E40CA">
            <w:pPr>
              <w:pStyle w:val="1"/>
              <w:rPr>
                <w:rFonts w:ascii="Arial CYR" w:hAnsi="Arial CYR"/>
              </w:rPr>
            </w:pPr>
            <w:r>
              <w:rPr>
                <w:rFonts w:ascii="Arial" w:hAnsi="Arial"/>
              </w:rPr>
              <w:t>3</w:t>
            </w:r>
          </w:p>
        </w:tc>
        <w:tc>
          <w:tcPr>
            <w:tcW w:w="425" w:type="dxa"/>
            <w:vAlign w:val="center"/>
          </w:tcPr>
          <w:p w:rsidR="00EF6EB5" w:rsidRDefault="008E40CA">
            <w:pPr>
              <w:pStyle w:val="1"/>
              <w:rPr>
                <w:rFonts w:ascii="Arial CYR" w:hAnsi="Arial CYR"/>
              </w:rPr>
            </w:pPr>
            <w:r>
              <w:rPr>
                <w:rFonts w:ascii="Arial" w:hAnsi="Arial"/>
              </w:rPr>
              <w:t>3</w:t>
            </w:r>
          </w:p>
        </w:tc>
        <w:tc>
          <w:tcPr>
            <w:tcW w:w="428" w:type="dxa"/>
            <w:vAlign w:val="center"/>
          </w:tcPr>
          <w:p w:rsidR="00EF6EB5" w:rsidRDefault="008E40CA">
            <w:pPr>
              <w:pStyle w:val="1"/>
              <w:rPr>
                <w:rFonts w:ascii="Arial CYR" w:hAnsi="Arial CYR"/>
              </w:rPr>
            </w:pPr>
            <w:r>
              <w:rPr>
                <w:rFonts w:ascii="Arial" w:hAnsi="Arial"/>
              </w:rPr>
              <w:t>3</w:t>
            </w:r>
          </w:p>
        </w:tc>
      </w:tr>
      <w:tr w:rsidR="009A5AD7" w:rsidTr="009A5AD7">
        <w:trPr>
          <w:jc w:val="center"/>
        </w:trPr>
        <w:tc>
          <w:tcPr>
            <w:tcW w:w="9363" w:type="dxa"/>
            <w:gridSpan w:val="13"/>
            <w:vAlign w:val="center"/>
          </w:tcPr>
          <w:p w:rsidR="00EF6EB5" w:rsidRDefault="008E40CA">
            <w:pPr>
              <w:pStyle w:val="1"/>
              <w:rPr>
                <w:rFonts w:ascii="Arial CYR" w:hAnsi="Arial CYR"/>
              </w:rPr>
            </w:pPr>
            <w:r>
              <w:rPr>
                <w:rFonts w:ascii="Arial" w:hAnsi="Arial"/>
              </w:rPr>
              <w:t>Государства, имеющие "в основном несвободную" экономику</w:t>
            </w:r>
          </w:p>
        </w:tc>
      </w:tr>
      <w:tr w:rsidR="00EF6EB5">
        <w:trPr>
          <w:jc w:val="center"/>
        </w:trPr>
        <w:tc>
          <w:tcPr>
            <w:tcW w:w="2414" w:type="dxa"/>
            <w:vAlign w:val="center"/>
          </w:tcPr>
          <w:p w:rsidR="00EF6EB5" w:rsidRDefault="008E40CA">
            <w:pPr>
              <w:pStyle w:val="1"/>
              <w:rPr>
                <w:rFonts w:ascii="Arial CYR" w:hAnsi="Arial CYR"/>
              </w:rPr>
            </w:pPr>
            <w:r>
              <w:rPr>
                <w:rFonts w:ascii="Arial" w:hAnsi="Arial"/>
              </w:rPr>
              <w:t>Нигерия</w:t>
            </w:r>
          </w:p>
        </w:tc>
        <w:tc>
          <w:tcPr>
            <w:tcW w:w="1276" w:type="dxa"/>
            <w:vAlign w:val="center"/>
          </w:tcPr>
          <w:p w:rsidR="00EF6EB5" w:rsidRDefault="008E40CA">
            <w:pPr>
              <w:pStyle w:val="1"/>
              <w:rPr>
                <w:rFonts w:ascii="Arial CYR" w:hAnsi="Arial CYR"/>
              </w:rPr>
            </w:pPr>
            <w:r>
              <w:rPr>
                <w:rFonts w:ascii="Arial" w:hAnsi="Arial"/>
              </w:rPr>
              <w:t>94</w:t>
            </w:r>
          </w:p>
        </w:tc>
        <w:tc>
          <w:tcPr>
            <w:tcW w:w="1134" w:type="dxa"/>
            <w:vAlign w:val="center"/>
          </w:tcPr>
          <w:p w:rsidR="00EF6EB5" w:rsidRDefault="008E40CA">
            <w:pPr>
              <w:pStyle w:val="1"/>
              <w:rPr>
                <w:rFonts w:ascii="Arial CYR" w:hAnsi="Arial CYR"/>
              </w:rPr>
            </w:pPr>
            <w:r>
              <w:rPr>
                <w:rFonts w:ascii="Arial" w:hAnsi="Arial"/>
              </w:rPr>
              <w:t>3,30</w:t>
            </w:r>
          </w:p>
        </w:tc>
        <w:tc>
          <w:tcPr>
            <w:tcW w:w="425" w:type="dxa"/>
            <w:vAlign w:val="center"/>
          </w:tcPr>
          <w:p w:rsidR="00EF6EB5" w:rsidRDefault="008E40CA">
            <w:pPr>
              <w:pStyle w:val="1"/>
              <w:rPr>
                <w:rFonts w:ascii="Arial CYR" w:hAnsi="Arial CYR"/>
              </w:rPr>
            </w:pPr>
            <w:r>
              <w:rPr>
                <w:rFonts w:ascii="Arial" w:hAnsi="Arial"/>
              </w:rPr>
              <w:t>5</w:t>
            </w:r>
          </w:p>
        </w:tc>
        <w:tc>
          <w:tcPr>
            <w:tcW w:w="426" w:type="dxa"/>
            <w:vAlign w:val="center"/>
          </w:tcPr>
          <w:p w:rsidR="00EF6EB5" w:rsidRDefault="008E40CA">
            <w:pPr>
              <w:pStyle w:val="1"/>
              <w:rPr>
                <w:rFonts w:ascii="Arial CYR" w:hAnsi="Arial CYR"/>
              </w:rPr>
            </w:pPr>
            <w:r>
              <w:rPr>
                <w:rFonts w:ascii="Arial" w:hAnsi="Arial"/>
              </w:rPr>
              <w:t>2</w:t>
            </w:r>
          </w:p>
        </w:tc>
        <w:tc>
          <w:tcPr>
            <w:tcW w:w="425" w:type="dxa"/>
            <w:vAlign w:val="center"/>
          </w:tcPr>
          <w:p w:rsidR="00EF6EB5" w:rsidRDefault="008E40CA">
            <w:pPr>
              <w:pStyle w:val="1"/>
              <w:rPr>
                <w:rFonts w:ascii="Arial CYR" w:hAnsi="Arial CYR"/>
              </w:rPr>
            </w:pPr>
            <w:r>
              <w:rPr>
                <w:rFonts w:ascii="Arial" w:hAnsi="Arial"/>
              </w:rPr>
              <w:t>2</w:t>
            </w:r>
          </w:p>
        </w:tc>
        <w:tc>
          <w:tcPr>
            <w:tcW w:w="425" w:type="dxa"/>
            <w:vAlign w:val="center"/>
          </w:tcPr>
          <w:p w:rsidR="00EF6EB5" w:rsidRDefault="008E40CA">
            <w:pPr>
              <w:pStyle w:val="1"/>
              <w:rPr>
                <w:rFonts w:ascii="Arial CYR" w:hAnsi="Arial CYR"/>
              </w:rPr>
            </w:pPr>
            <w:r>
              <w:rPr>
                <w:rFonts w:ascii="Arial" w:hAnsi="Arial"/>
              </w:rPr>
              <w:t>5</w:t>
            </w:r>
          </w:p>
        </w:tc>
        <w:tc>
          <w:tcPr>
            <w:tcW w:w="425" w:type="dxa"/>
            <w:vAlign w:val="center"/>
          </w:tcPr>
          <w:p w:rsidR="00EF6EB5" w:rsidRDefault="008E40CA">
            <w:pPr>
              <w:pStyle w:val="1"/>
              <w:rPr>
                <w:rFonts w:ascii="Arial CYR" w:hAnsi="Arial CYR"/>
              </w:rPr>
            </w:pPr>
            <w:r>
              <w:rPr>
                <w:rFonts w:ascii="Arial" w:hAnsi="Arial"/>
              </w:rPr>
              <w:t>2</w:t>
            </w:r>
          </w:p>
        </w:tc>
        <w:tc>
          <w:tcPr>
            <w:tcW w:w="426" w:type="dxa"/>
            <w:vAlign w:val="center"/>
          </w:tcPr>
          <w:p w:rsidR="00EF6EB5" w:rsidRDefault="008E40CA">
            <w:pPr>
              <w:pStyle w:val="1"/>
              <w:rPr>
                <w:rFonts w:ascii="Arial CYR" w:hAnsi="Arial CYR"/>
              </w:rPr>
            </w:pPr>
            <w:r>
              <w:rPr>
                <w:rFonts w:ascii="Arial" w:hAnsi="Arial"/>
              </w:rPr>
              <w:t>4</w:t>
            </w:r>
          </w:p>
        </w:tc>
        <w:tc>
          <w:tcPr>
            <w:tcW w:w="567" w:type="dxa"/>
            <w:vAlign w:val="center"/>
          </w:tcPr>
          <w:p w:rsidR="00EF6EB5" w:rsidRDefault="008E40CA">
            <w:pPr>
              <w:pStyle w:val="1"/>
              <w:rPr>
                <w:rFonts w:ascii="Arial CYR" w:hAnsi="Arial CYR"/>
              </w:rPr>
            </w:pPr>
            <w:r>
              <w:rPr>
                <w:rFonts w:ascii="Arial" w:hAnsi="Arial"/>
              </w:rPr>
              <w:t>2</w:t>
            </w:r>
          </w:p>
        </w:tc>
        <w:tc>
          <w:tcPr>
            <w:tcW w:w="567" w:type="dxa"/>
            <w:vAlign w:val="center"/>
          </w:tcPr>
          <w:p w:rsidR="00EF6EB5" w:rsidRDefault="008E40CA">
            <w:pPr>
              <w:pStyle w:val="1"/>
              <w:rPr>
                <w:rFonts w:ascii="Arial CYR" w:hAnsi="Arial CYR"/>
              </w:rPr>
            </w:pPr>
            <w:r>
              <w:rPr>
                <w:rFonts w:ascii="Arial" w:hAnsi="Arial"/>
              </w:rPr>
              <w:t>4</w:t>
            </w:r>
          </w:p>
        </w:tc>
        <w:tc>
          <w:tcPr>
            <w:tcW w:w="425" w:type="dxa"/>
            <w:vAlign w:val="center"/>
          </w:tcPr>
          <w:p w:rsidR="00EF6EB5" w:rsidRDefault="008E40CA">
            <w:pPr>
              <w:pStyle w:val="1"/>
              <w:rPr>
                <w:rFonts w:ascii="Arial CYR" w:hAnsi="Arial CYR"/>
              </w:rPr>
            </w:pPr>
            <w:r>
              <w:rPr>
                <w:rFonts w:ascii="Arial" w:hAnsi="Arial"/>
              </w:rPr>
              <w:t>4</w:t>
            </w:r>
          </w:p>
        </w:tc>
        <w:tc>
          <w:tcPr>
            <w:tcW w:w="428" w:type="dxa"/>
            <w:vAlign w:val="center"/>
          </w:tcPr>
          <w:p w:rsidR="00EF6EB5" w:rsidRDefault="008E40CA">
            <w:pPr>
              <w:pStyle w:val="1"/>
              <w:rPr>
                <w:rFonts w:ascii="Arial CYR" w:hAnsi="Arial CYR"/>
              </w:rPr>
            </w:pPr>
            <w:r>
              <w:rPr>
                <w:rFonts w:ascii="Arial" w:hAnsi="Arial"/>
              </w:rPr>
              <w:t>3</w:t>
            </w:r>
          </w:p>
        </w:tc>
      </w:tr>
      <w:tr w:rsidR="00EF6EB5">
        <w:trPr>
          <w:jc w:val="center"/>
        </w:trPr>
        <w:tc>
          <w:tcPr>
            <w:tcW w:w="2414" w:type="dxa"/>
            <w:vAlign w:val="center"/>
          </w:tcPr>
          <w:p w:rsidR="00EF6EB5" w:rsidRDefault="008E40CA">
            <w:pPr>
              <w:pStyle w:val="1"/>
              <w:rPr>
                <w:rFonts w:ascii="Arial CYR" w:hAnsi="Arial CYR"/>
              </w:rPr>
            </w:pPr>
            <w:r>
              <w:rPr>
                <w:rFonts w:ascii="Arial" w:hAnsi="Arial"/>
              </w:rPr>
              <w:t>Камерун</w:t>
            </w:r>
          </w:p>
        </w:tc>
        <w:tc>
          <w:tcPr>
            <w:tcW w:w="1276" w:type="dxa"/>
            <w:vAlign w:val="center"/>
          </w:tcPr>
          <w:p w:rsidR="00EF6EB5" w:rsidRDefault="008E40CA">
            <w:pPr>
              <w:pStyle w:val="1"/>
              <w:rPr>
                <w:rFonts w:ascii="Arial CYR" w:hAnsi="Arial CYR"/>
              </w:rPr>
            </w:pPr>
            <w:r>
              <w:rPr>
                <w:rFonts w:ascii="Arial" w:hAnsi="Arial"/>
              </w:rPr>
              <w:t>100</w:t>
            </w:r>
          </w:p>
        </w:tc>
        <w:tc>
          <w:tcPr>
            <w:tcW w:w="1134" w:type="dxa"/>
            <w:vAlign w:val="center"/>
          </w:tcPr>
          <w:p w:rsidR="00EF6EB5" w:rsidRDefault="008E40CA">
            <w:pPr>
              <w:pStyle w:val="1"/>
              <w:rPr>
                <w:rFonts w:ascii="Arial CYR" w:hAnsi="Arial CYR"/>
              </w:rPr>
            </w:pPr>
            <w:r>
              <w:rPr>
                <w:rFonts w:ascii="Arial" w:hAnsi="Arial"/>
              </w:rPr>
              <w:t>3,40</w:t>
            </w:r>
          </w:p>
        </w:tc>
        <w:tc>
          <w:tcPr>
            <w:tcW w:w="425" w:type="dxa"/>
            <w:vAlign w:val="center"/>
          </w:tcPr>
          <w:p w:rsidR="00EF6EB5" w:rsidRDefault="008E40CA">
            <w:pPr>
              <w:pStyle w:val="1"/>
              <w:rPr>
                <w:rFonts w:ascii="Arial CYR" w:hAnsi="Arial CYR"/>
              </w:rPr>
            </w:pPr>
            <w:r>
              <w:rPr>
                <w:rFonts w:ascii="Arial" w:hAnsi="Arial"/>
              </w:rPr>
              <w:t>5</w:t>
            </w:r>
          </w:p>
        </w:tc>
        <w:tc>
          <w:tcPr>
            <w:tcW w:w="426" w:type="dxa"/>
            <w:vAlign w:val="center"/>
          </w:tcPr>
          <w:p w:rsidR="00EF6EB5" w:rsidRDefault="008E40CA">
            <w:pPr>
              <w:pStyle w:val="1"/>
              <w:rPr>
                <w:rFonts w:ascii="Arial CYR" w:hAnsi="Arial CYR"/>
              </w:rPr>
            </w:pPr>
            <w:r>
              <w:rPr>
                <w:rFonts w:ascii="Arial" w:hAnsi="Arial"/>
              </w:rPr>
              <w:t>2</w:t>
            </w:r>
          </w:p>
        </w:tc>
        <w:tc>
          <w:tcPr>
            <w:tcW w:w="425" w:type="dxa"/>
            <w:vAlign w:val="center"/>
          </w:tcPr>
          <w:p w:rsidR="00EF6EB5" w:rsidRDefault="008E40CA">
            <w:pPr>
              <w:pStyle w:val="1"/>
              <w:rPr>
                <w:rFonts w:ascii="Arial CYR" w:hAnsi="Arial CYR"/>
              </w:rPr>
            </w:pPr>
            <w:r>
              <w:rPr>
                <w:rFonts w:ascii="Arial" w:hAnsi="Arial"/>
              </w:rPr>
              <w:t>2</w:t>
            </w:r>
          </w:p>
        </w:tc>
        <w:tc>
          <w:tcPr>
            <w:tcW w:w="425" w:type="dxa"/>
            <w:vAlign w:val="center"/>
          </w:tcPr>
          <w:p w:rsidR="00EF6EB5" w:rsidRDefault="008E40CA">
            <w:pPr>
              <w:pStyle w:val="1"/>
              <w:rPr>
                <w:rFonts w:ascii="Arial CYR" w:hAnsi="Arial CYR"/>
              </w:rPr>
            </w:pPr>
            <w:r>
              <w:rPr>
                <w:rFonts w:ascii="Arial" w:hAnsi="Arial"/>
              </w:rPr>
              <w:t>2</w:t>
            </w:r>
          </w:p>
        </w:tc>
        <w:tc>
          <w:tcPr>
            <w:tcW w:w="425" w:type="dxa"/>
            <w:vAlign w:val="center"/>
          </w:tcPr>
          <w:p w:rsidR="00EF6EB5" w:rsidRDefault="008E40CA">
            <w:pPr>
              <w:pStyle w:val="1"/>
              <w:rPr>
                <w:rFonts w:ascii="Arial CYR" w:hAnsi="Arial CYR"/>
              </w:rPr>
            </w:pPr>
            <w:r>
              <w:rPr>
                <w:rFonts w:ascii="Arial" w:hAnsi="Arial"/>
              </w:rPr>
              <w:t>3</w:t>
            </w:r>
          </w:p>
        </w:tc>
        <w:tc>
          <w:tcPr>
            <w:tcW w:w="426" w:type="dxa"/>
            <w:vAlign w:val="center"/>
          </w:tcPr>
          <w:p w:rsidR="00EF6EB5" w:rsidRDefault="008E40CA">
            <w:pPr>
              <w:pStyle w:val="1"/>
              <w:rPr>
                <w:rFonts w:ascii="Arial CYR" w:hAnsi="Arial CYR"/>
              </w:rPr>
            </w:pPr>
            <w:r>
              <w:rPr>
                <w:rFonts w:ascii="Arial" w:hAnsi="Arial"/>
              </w:rPr>
              <w:t>4</w:t>
            </w:r>
          </w:p>
        </w:tc>
        <w:tc>
          <w:tcPr>
            <w:tcW w:w="567" w:type="dxa"/>
            <w:vAlign w:val="center"/>
          </w:tcPr>
          <w:p w:rsidR="00EF6EB5" w:rsidRDefault="008E40CA">
            <w:pPr>
              <w:pStyle w:val="1"/>
              <w:rPr>
                <w:rFonts w:ascii="Arial CYR" w:hAnsi="Arial CYR"/>
              </w:rPr>
            </w:pPr>
            <w:r>
              <w:rPr>
                <w:rFonts w:ascii="Arial" w:hAnsi="Arial"/>
              </w:rPr>
              <w:t>3</w:t>
            </w:r>
          </w:p>
        </w:tc>
        <w:tc>
          <w:tcPr>
            <w:tcW w:w="567" w:type="dxa"/>
            <w:vAlign w:val="center"/>
          </w:tcPr>
          <w:p w:rsidR="00EF6EB5" w:rsidRDefault="008E40CA">
            <w:pPr>
              <w:pStyle w:val="1"/>
              <w:rPr>
                <w:rFonts w:ascii="Arial CYR" w:hAnsi="Arial CYR"/>
              </w:rPr>
            </w:pPr>
            <w:r>
              <w:rPr>
                <w:rFonts w:ascii="Arial" w:hAnsi="Arial"/>
              </w:rPr>
              <w:t>4</w:t>
            </w:r>
          </w:p>
        </w:tc>
        <w:tc>
          <w:tcPr>
            <w:tcW w:w="425" w:type="dxa"/>
            <w:vAlign w:val="center"/>
          </w:tcPr>
          <w:p w:rsidR="00EF6EB5" w:rsidRDefault="008E40CA">
            <w:pPr>
              <w:pStyle w:val="1"/>
              <w:rPr>
                <w:rFonts w:ascii="Arial CYR" w:hAnsi="Arial CYR"/>
              </w:rPr>
            </w:pPr>
            <w:r>
              <w:rPr>
                <w:rFonts w:ascii="Arial" w:hAnsi="Arial"/>
              </w:rPr>
              <w:t>4</w:t>
            </w:r>
          </w:p>
        </w:tc>
        <w:tc>
          <w:tcPr>
            <w:tcW w:w="428" w:type="dxa"/>
            <w:vAlign w:val="center"/>
          </w:tcPr>
          <w:p w:rsidR="00EF6EB5" w:rsidRDefault="008E40CA">
            <w:pPr>
              <w:pStyle w:val="1"/>
              <w:rPr>
                <w:rFonts w:ascii="Arial CYR" w:hAnsi="Arial CYR"/>
              </w:rPr>
            </w:pPr>
            <w:r>
              <w:rPr>
                <w:rFonts w:ascii="Arial" w:hAnsi="Arial"/>
              </w:rPr>
              <w:t>5</w:t>
            </w:r>
          </w:p>
        </w:tc>
      </w:tr>
      <w:tr w:rsidR="00EF6EB5">
        <w:trPr>
          <w:jc w:val="center"/>
        </w:trPr>
        <w:tc>
          <w:tcPr>
            <w:tcW w:w="2414" w:type="dxa"/>
            <w:vAlign w:val="center"/>
          </w:tcPr>
          <w:p w:rsidR="00EF6EB5" w:rsidRDefault="008E40CA">
            <w:pPr>
              <w:pStyle w:val="1"/>
              <w:rPr>
                <w:rFonts w:ascii="Arial CYR" w:hAnsi="Arial CYR"/>
              </w:rPr>
            </w:pPr>
            <w:r>
              <w:rPr>
                <w:rFonts w:ascii="Arial" w:hAnsi="Arial"/>
              </w:rPr>
              <w:t>Кот д'Ивуар</w:t>
            </w:r>
          </w:p>
        </w:tc>
        <w:tc>
          <w:tcPr>
            <w:tcW w:w="1276" w:type="dxa"/>
            <w:vAlign w:val="center"/>
          </w:tcPr>
          <w:p w:rsidR="00EF6EB5" w:rsidRDefault="008E40CA">
            <w:pPr>
              <w:pStyle w:val="1"/>
              <w:rPr>
                <w:rFonts w:ascii="Arial CYR" w:hAnsi="Arial CYR"/>
              </w:rPr>
            </w:pPr>
            <w:r>
              <w:rPr>
                <w:rFonts w:ascii="Arial" w:hAnsi="Arial"/>
              </w:rPr>
              <w:t>108</w:t>
            </w:r>
          </w:p>
        </w:tc>
        <w:tc>
          <w:tcPr>
            <w:tcW w:w="1134" w:type="dxa"/>
            <w:vAlign w:val="center"/>
          </w:tcPr>
          <w:p w:rsidR="00EF6EB5" w:rsidRDefault="008E40CA">
            <w:pPr>
              <w:pStyle w:val="1"/>
              <w:rPr>
                <w:rFonts w:ascii="Arial CYR" w:hAnsi="Arial CYR"/>
              </w:rPr>
            </w:pPr>
            <w:r>
              <w:rPr>
                <w:rFonts w:ascii="Arial" w:hAnsi="Arial"/>
              </w:rPr>
              <w:t>3,45</w:t>
            </w:r>
          </w:p>
        </w:tc>
        <w:tc>
          <w:tcPr>
            <w:tcW w:w="425" w:type="dxa"/>
            <w:vAlign w:val="center"/>
          </w:tcPr>
          <w:p w:rsidR="00EF6EB5" w:rsidRDefault="008E40CA">
            <w:pPr>
              <w:pStyle w:val="1"/>
              <w:rPr>
                <w:rFonts w:ascii="Arial CYR" w:hAnsi="Arial CYR"/>
              </w:rPr>
            </w:pPr>
            <w:r>
              <w:rPr>
                <w:rFonts w:ascii="Arial" w:hAnsi="Arial"/>
              </w:rPr>
              <w:t>5</w:t>
            </w:r>
          </w:p>
        </w:tc>
        <w:tc>
          <w:tcPr>
            <w:tcW w:w="426" w:type="dxa"/>
            <w:vAlign w:val="center"/>
          </w:tcPr>
          <w:p w:rsidR="00EF6EB5" w:rsidRDefault="008E40CA">
            <w:pPr>
              <w:pStyle w:val="1"/>
              <w:rPr>
                <w:rFonts w:ascii="Arial CYR" w:hAnsi="Arial CYR"/>
              </w:rPr>
            </w:pPr>
            <w:r>
              <w:rPr>
                <w:rFonts w:ascii="Arial" w:hAnsi="Arial"/>
              </w:rPr>
              <w:t>3,5</w:t>
            </w:r>
          </w:p>
        </w:tc>
        <w:tc>
          <w:tcPr>
            <w:tcW w:w="425" w:type="dxa"/>
            <w:vAlign w:val="center"/>
          </w:tcPr>
          <w:p w:rsidR="00EF6EB5" w:rsidRDefault="008E40CA">
            <w:pPr>
              <w:pStyle w:val="1"/>
              <w:rPr>
                <w:rFonts w:ascii="Arial CYR" w:hAnsi="Arial CYR"/>
              </w:rPr>
            </w:pPr>
            <w:r>
              <w:rPr>
                <w:rFonts w:ascii="Arial" w:hAnsi="Arial"/>
              </w:rPr>
              <w:t>3</w:t>
            </w:r>
          </w:p>
        </w:tc>
        <w:tc>
          <w:tcPr>
            <w:tcW w:w="425" w:type="dxa"/>
            <w:vAlign w:val="center"/>
          </w:tcPr>
          <w:p w:rsidR="00EF6EB5" w:rsidRDefault="008E40CA">
            <w:pPr>
              <w:pStyle w:val="1"/>
              <w:rPr>
                <w:rFonts w:ascii="Arial CYR" w:hAnsi="Arial CYR"/>
              </w:rPr>
            </w:pPr>
            <w:r>
              <w:rPr>
                <w:rFonts w:ascii="Arial" w:hAnsi="Arial"/>
              </w:rPr>
              <w:t>2</w:t>
            </w:r>
          </w:p>
        </w:tc>
        <w:tc>
          <w:tcPr>
            <w:tcW w:w="425" w:type="dxa"/>
            <w:vAlign w:val="center"/>
          </w:tcPr>
          <w:p w:rsidR="00EF6EB5" w:rsidRDefault="008E40CA">
            <w:pPr>
              <w:pStyle w:val="1"/>
              <w:rPr>
                <w:rFonts w:ascii="Arial CYR" w:hAnsi="Arial CYR"/>
              </w:rPr>
            </w:pPr>
            <w:r>
              <w:rPr>
                <w:rFonts w:ascii="Arial" w:hAnsi="Arial"/>
              </w:rPr>
              <w:t>3</w:t>
            </w:r>
          </w:p>
        </w:tc>
        <w:tc>
          <w:tcPr>
            <w:tcW w:w="426" w:type="dxa"/>
            <w:vAlign w:val="center"/>
          </w:tcPr>
          <w:p w:rsidR="00EF6EB5" w:rsidRDefault="008E40CA">
            <w:pPr>
              <w:pStyle w:val="1"/>
              <w:rPr>
                <w:rFonts w:ascii="Arial CYR" w:hAnsi="Arial CYR"/>
              </w:rPr>
            </w:pPr>
            <w:r>
              <w:rPr>
                <w:rFonts w:ascii="Arial" w:hAnsi="Arial"/>
              </w:rPr>
              <w:t>3</w:t>
            </w:r>
          </w:p>
        </w:tc>
        <w:tc>
          <w:tcPr>
            <w:tcW w:w="567" w:type="dxa"/>
            <w:vAlign w:val="center"/>
          </w:tcPr>
          <w:p w:rsidR="00EF6EB5" w:rsidRDefault="008E40CA">
            <w:pPr>
              <w:pStyle w:val="1"/>
              <w:rPr>
                <w:rFonts w:ascii="Arial CYR" w:hAnsi="Arial CYR"/>
              </w:rPr>
            </w:pPr>
            <w:r>
              <w:rPr>
                <w:rFonts w:ascii="Arial" w:hAnsi="Arial"/>
              </w:rPr>
              <w:t>3</w:t>
            </w:r>
          </w:p>
        </w:tc>
        <w:tc>
          <w:tcPr>
            <w:tcW w:w="567" w:type="dxa"/>
            <w:vAlign w:val="center"/>
          </w:tcPr>
          <w:p w:rsidR="00EF6EB5" w:rsidRDefault="008E40CA">
            <w:pPr>
              <w:pStyle w:val="1"/>
              <w:rPr>
                <w:rFonts w:ascii="Arial CYR" w:hAnsi="Arial CYR"/>
              </w:rPr>
            </w:pPr>
            <w:r>
              <w:rPr>
                <w:rFonts w:ascii="Arial" w:hAnsi="Arial"/>
              </w:rPr>
              <w:t>4</w:t>
            </w:r>
          </w:p>
        </w:tc>
        <w:tc>
          <w:tcPr>
            <w:tcW w:w="425" w:type="dxa"/>
            <w:vAlign w:val="center"/>
          </w:tcPr>
          <w:p w:rsidR="00EF6EB5" w:rsidRDefault="008E40CA">
            <w:pPr>
              <w:pStyle w:val="1"/>
              <w:rPr>
                <w:rFonts w:ascii="Arial CYR" w:hAnsi="Arial CYR"/>
              </w:rPr>
            </w:pPr>
            <w:r>
              <w:rPr>
                <w:rFonts w:ascii="Arial" w:hAnsi="Arial"/>
              </w:rPr>
              <w:t>4</w:t>
            </w:r>
          </w:p>
        </w:tc>
        <w:tc>
          <w:tcPr>
            <w:tcW w:w="428" w:type="dxa"/>
            <w:vAlign w:val="center"/>
          </w:tcPr>
          <w:p w:rsidR="00EF6EB5" w:rsidRDefault="008E40CA">
            <w:pPr>
              <w:pStyle w:val="1"/>
              <w:rPr>
                <w:rFonts w:ascii="Arial CYR" w:hAnsi="Arial CYR"/>
              </w:rPr>
            </w:pPr>
            <w:r>
              <w:rPr>
                <w:rFonts w:ascii="Arial" w:hAnsi="Arial"/>
              </w:rPr>
              <w:t>4</w:t>
            </w:r>
          </w:p>
        </w:tc>
      </w:tr>
      <w:tr w:rsidR="00EF6EB5">
        <w:trPr>
          <w:jc w:val="center"/>
        </w:trPr>
        <w:tc>
          <w:tcPr>
            <w:tcW w:w="2414" w:type="dxa"/>
            <w:vAlign w:val="center"/>
          </w:tcPr>
          <w:p w:rsidR="00EF6EB5" w:rsidRDefault="008E40CA">
            <w:pPr>
              <w:pStyle w:val="1"/>
              <w:rPr>
                <w:rFonts w:ascii="Arial CYR" w:hAnsi="Arial CYR"/>
              </w:rPr>
            </w:pPr>
            <w:r>
              <w:rPr>
                <w:rFonts w:ascii="Arial" w:hAnsi="Arial"/>
              </w:rPr>
              <w:t>Чад</w:t>
            </w:r>
          </w:p>
        </w:tc>
        <w:tc>
          <w:tcPr>
            <w:tcW w:w="1276" w:type="dxa"/>
            <w:vAlign w:val="center"/>
          </w:tcPr>
          <w:p w:rsidR="00EF6EB5" w:rsidRDefault="008E40CA">
            <w:pPr>
              <w:pStyle w:val="1"/>
              <w:rPr>
                <w:rFonts w:ascii="Arial CYR" w:hAnsi="Arial CYR"/>
              </w:rPr>
            </w:pPr>
            <w:r>
              <w:rPr>
                <w:rFonts w:ascii="Arial" w:hAnsi="Arial"/>
              </w:rPr>
              <w:t>127</w:t>
            </w:r>
          </w:p>
        </w:tc>
        <w:tc>
          <w:tcPr>
            <w:tcW w:w="1134" w:type="dxa"/>
            <w:vAlign w:val="center"/>
          </w:tcPr>
          <w:p w:rsidR="00EF6EB5" w:rsidRDefault="008E40CA">
            <w:pPr>
              <w:pStyle w:val="1"/>
              <w:rPr>
                <w:rFonts w:ascii="Arial CYR" w:hAnsi="Arial CYR"/>
              </w:rPr>
            </w:pPr>
            <w:r>
              <w:rPr>
                <w:rFonts w:ascii="Arial" w:hAnsi="Arial"/>
              </w:rPr>
              <w:t>3,80</w:t>
            </w:r>
          </w:p>
        </w:tc>
        <w:tc>
          <w:tcPr>
            <w:tcW w:w="425" w:type="dxa"/>
            <w:vAlign w:val="center"/>
          </w:tcPr>
          <w:p w:rsidR="00EF6EB5" w:rsidRDefault="008E40CA">
            <w:pPr>
              <w:pStyle w:val="1"/>
              <w:rPr>
                <w:rFonts w:ascii="Arial CYR" w:hAnsi="Arial CYR"/>
              </w:rPr>
            </w:pPr>
            <w:r>
              <w:rPr>
                <w:rFonts w:ascii="Arial" w:hAnsi="Arial"/>
              </w:rPr>
              <w:t>5</w:t>
            </w:r>
          </w:p>
        </w:tc>
        <w:tc>
          <w:tcPr>
            <w:tcW w:w="426" w:type="dxa"/>
            <w:vAlign w:val="center"/>
          </w:tcPr>
          <w:p w:rsidR="00EF6EB5" w:rsidRDefault="008E40CA">
            <w:pPr>
              <w:pStyle w:val="1"/>
              <w:rPr>
                <w:rFonts w:ascii="Arial CYR" w:hAnsi="Arial CYR"/>
              </w:rPr>
            </w:pPr>
            <w:r>
              <w:rPr>
                <w:rFonts w:ascii="Arial" w:hAnsi="Arial"/>
              </w:rPr>
              <w:t>4</w:t>
            </w:r>
          </w:p>
        </w:tc>
        <w:tc>
          <w:tcPr>
            <w:tcW w:w="425" w:type="dxa"/>
            <w:vAlign w:val="center"/>
          </w:tcPr>
          <w:p w:rsidR="00EF6EB5" w:rsidRDefault="008E40CA">
            <w:pPr>
              <w:pStyle w:val="1"/>
              <w:rPr>
                <w:rFonts w:ascii="Arial CYR" w:hAnsi="Arial CYR"/>
              </w:rPr>
            </w:pPr>
            <w:r>
              <w:rPr>
                <w:rFonts w:ascii="Arial" w:hAnsi="Arial"/>
              </w:rPr>
              <w:t>2</w:t>
            </w:r>
          </w:p>
        </w:tc>
        <w:tc>
          <w:tcPr>
            <w:tcW w:w="425" w:type="dxa"/>
            <w:vAlign w:val="center"/>
          </w:tcPr>
          <w:p w:rsidR="00EF6EB5" w:rsidRDefault="008E40CA">
            <w:pPr>
              <w:pStyle w:val="1"/>
              <w:rPr>
                <w:rFonts w:ascii="Arial CYR" w:hAnsi="Arial CYR"/>
              </w:rPr>
            </w:pPr>
            <w:r>
              <w:rPr>
                <w:rFonts w:ascii="Arial" w:hAnsi="Arial"/>
              </w:rPr>
              <w:t>2</w:t>
            </w:r>
          </w:p>
        </w:tc>
        <w:tc>
          <w:tcPr>
            <w:tcW w:w="425" w:type="dxa"/>
            <w:vAlign w:val="center"/>
          </w:tcPr>
          <w:p w:rsidR="00EF6EB5" w:rsidRDefault="008E40CA">
            <w:pPr>
              <w:pStyle w:val="1"/>
              <w:rPr>
                <w:rFonts w:ascii="Arial CYR" w:hAnsi="Arial CYR"/>
              </w:rPr>
            </w:pPr>
            <w:r>
              <w:rPr>
                <w:rFonts w:ascii="Arial" w:hAnsi="Arial"/>
              </w:rPr>
              <w:t>4</w:t>
            </w:r>
          </w:p>
        </w:tc>
        <w:tc>
          <w:tcPr>
            <w:tcW w:w="426" w:type="dxa"/>
            <w:vAlign w:val="center"/>
          </w:tcPr>
          <w:p w:rsidR="00EF6EB5" w:rsidRDefault="008E40CA">
            <w:pPr>
              <w:pStyle w:val="1"/>
              <w:rPr>
                <w:rFonts w:ascii="Arial CYR" w:hAnsi="Arial CYR"/>
              </w:rPr>
            </w:pPr>
            <w:r>
              <w:rPr>
                <w:rFonts w:ascii="Arial" w:hAnsi="Arial"/>
              </w:rPr>
              <w:t>4</w:t>
            </w:r>
          </w:p>
        </w:tc>
        <w:tc>
          <w:tcPr>
            <w:tcW w:w="567" w:type="dxa"/>
            <w:vAlign w:val="center"/>
          </w:tcPr>
          <w:p w:rsidR="00EF6EB5" w:rsidRDefault="008E40CA">
            <w:pPr>
              <w:pStyle w:val="1"/>
              <w:rPr>
                <w:rFonts w:ascii="Arial CYR" w:hAnsi="Arial CYR"/>
              </w:rPr>
            </w:pPr>
            <w:r>
              <w:rPr>
                <w:rFonts w:ascii="Arial" w:hAnsi="Arial"/>
              </w:rPr>
              <w:t>4</w:t>
            </w:r>
          </w:p>
        </w:tc>
        <w:tc>
          <w:tcPr>
            <w:tcW w:w="567" w:type="dxa"/>
            <w:vAlign w:val="center"/>
          </w:tcPr>
          <w:p w:rsidR="00EF6EB5" w:rsidRDefault="008E40CA">
            <w:pPr>
              <w:pStyle w:val="1"/>
              <w:rPr>
                <w:rFonts w:ascii="Arial CYR" w:hAnsi="Arial CYR"/>
              </w:rPr>
            </w:pPr>
            <w:r>
              <w:rPr>
                <w:rFonts w:ascii="Arial" w:hAnsi="Arial"/>
              </w:rPr>
              <w:t>4</w:t>
            </w:r>
          </w:p>
        </w:tc>
        <w:tc>
          <w:tcPr>
            <w:tcW w:w="425" w:type="dxa"/>
            <w:vAlign w:val="center"/>
          </w:tcPr>
          <w:p w:rsidR="00EF6EB5" w:rsidRDefault="008E40CA">
            <w:pPr>
              <w:pStyle w:val="1"/>
              <w:rPr>
                <w:rFonts w:ascii="Arial CYR" w:hAnsi="Arial CYR"/>
              </w:rPr>
            </w:pPr>
            <w:r>
              <w:rPr>
                <w:rFonts w:ascii="Arial" w:hAnsi="Arial"/>
              </w:rPr>
              <w:t>4</w:t>
            </w:r>
          </w:p>
        </w:tc>
        <w:tc>
          <w:tcPr>
            <w:tcW w:w="428" w:type="dxa"/>
            <w:vAlign w:val="center"/>
          </w:tcPr>
          <w:p w:rsidR="00EF6EB5" w:rsidRDefault="008E40CA">
            <w:pPr>
              <w:pStyle w:val="1"/>
              <w:rPr>
                <w:rFonts w:ascii="Arial CYR" w:hAnsi="Arial CYR"/>
              </w:rPr>
            </w:pPr>
            <w:r>
              <w:rPr>
                <w:rFonts w:ascii="Arial" w:hAnsi="Arial"/>
              </w:rPr>
              <w:t>5</w:t>
            </w:r>
          </w:p>
        </w:tc>
      </w:tr>
      <w:tr w:rsidR="00EF6EB5">
        <w:trPr>
          <w:jc w:val="center"/>
        </w:trPr>
        <w:tc>
          <w:tcPr>
            <w:tcW w:w="2414" w:type="dxa"/>
            <w:vAlign w:val="center"/>
          </w:tcPr>
          <w:p w:rsidR="00EF6EB5" w:rsidRDefault="008E40CA">
            <w:pPr>
              <w:pStyle w:val="1"/>
              <w:rPr>
                <w:rFonts w:ascii="Arial CYR" w:hAnsi="Arial CYR"/>
              </w:rPr>
            </w:pPr>
            <w:r>
              <w:rPr>
                <w:rFonts w:ascii="Arial" w:hAnsi="Arial"/>
              </w:rPr>
              <w:t>Конго</w:t>
            </w:r>
          </w:p>
        </w:tc>
        <w:tc>
          <w:tcPr>
            <w:tcW w:w="1276" w:type="dxa"/>
            <w:vAlign w:val="center"/>
          </w:tcPr>
          <w:p w:rsidR="00EF6EB5" w:rsidRDefault="008E40CA">
            <w:pPr>
              <w:pStyle w:val="1"/>
              <w:rPr>
                <w:rFonts w:ascii="Arial CYR" w:hAnsi="Arial CYR"/>
              </w:rPr>
            </w:pPr>
            <w:r>
              <w:rPr>
                <w:rFonts w:ascii="Arial" w:hAnsi="Arial"/>
              </w:rPr>
              <w:t>136</w:t>
            </w:r>
          </w:p>
        </w:tc>
        <w:tc>
          <w:tcPr>
            <w:tcW w:w="1134" w:type="dxa"/>
            <w:vAlign w:val="center"/>
          </w:tcPr>
          <w:p w:rsidR="00EF6EB5" w:rsidRDefault="008E40CA">
            <w:pPr>
              <w:pStyle w:val="1"/>
              <w:rPr>
                <w:rFonts w:ascii="Arial CYR" w:hAnsi="Arial CYR"/>
              </w:rPr>
            </w:pPr>
            <w:r>
              <w:rPr>
                <w:rFonts w:ascii="Arial" w:hAnsi="Arial"/>
              </w:rPr>
              <w:t>3,90</w:t>
            </w:r>
          </w:p>
        </w:tc>
        <w:tc>
          <w:tcPr>
            <w:tcW w:w="425" w:type="dxa"/>
            <w:vAlign w:val="center"/>
          </w:tcPr>
          <w:p w:rsidR="00EF6EB5" w:rsidRDefault="008E40CA">
            <w:pPr>
              <w:pStyle w:val="1"/>
              <w:rPr>
                <w:rFonts w:ascii="Arial CYR" w:hAnsi="Arial CYR"/>
              </w:rPr>
            </w:pPr>
            <w:r>
              <w:rPr>
                <w:rFonts w:ascii="Arial" w:hAnsi="Arial"/>
              </w:rPr>
              <w:t>5</w:t>
            </w:r>
          </w:p>
        </w:tc>
        <w:tc>
          <w:tcPr>
            <w:tcW w:w="426" w:type="dxa"/>
            <w:vAlign w:val="center"/>
          </w:tcPr>
          <w:p w:rsidR="00EF6EB5" w:rsidRDefault="008E40CA">
            <w:pPr>
              <w:pStyle w:val="1"/>
              <w:rPr>
                <w:rFonts w:ascii="Arial CYR" w:hAnsi="Arial CYR"/>
              </w:rPr>
            </w:pPr>
            <w:r>
              <w:rPr>
                <w:rFonts w:ascii="Arial" w:hAnsi="Arial"/>
              </w:rPr>
              <w:t>3</w:t>
            </w:r>
          </w:p>
        </w:tc>
        <w:tc>
          <w:tcPr>
            <w:tcW w:w="425" w:type="dxa"/>
            <w:vAlign w:val="center"/>
          </w:tcPr>
          <w:p w:rsidR="00EF6EB5" w:rsidRDefault="008E40CA">
            <w:pPr>
              <w:pStyle w:val="1"/>
              <w:rPr>
                <w:rFonts w:ascii="Arial CYR" w:hAnsi="Arial CYR"/>
              </w:rPr>
            </w:pPr>
            <w:r>
              <w:rPr>
                <w:rFonts w:ascii="Arial" w:hAnsi="Arial"/>
              </w:rPr>
              <w:t>3</w:t>
            </w:r>
          </w:p>
        </w:tc>
        <w:tc>
          <w:tcPr>
            <w:tcW w:w="425" w:type="dxa"/>
            <w:vAlign w:val="center"/>
          </w:tcPr>
          <w:p w:rsidR="00EF6EB5" w:rsidRDefault="008E40CA">
            <w:pPr>
              <w:pStyle w:val="1"/>
              <w:rPr>
                <w:rFonts w:ascii="Arial CYR" w:hAnsi="Arial CYR"/>
              </w:rPr>
            </w:pPr>
            <w:r>
              <w:rPr>
                <w:rFonts w:ascii="Arial" w:hAnsi="Arial"/>
              </w:rPr>
              <w:t>4</w:t>
            </w:r>
          </w:p>
        </w:tc>
        <w:tc>
          <w:tcPr>
            <w:tcW w:w="425" w:type="dxa"/>
            <w:vAlign w:val="center"/>
          </w:tcPr>
          <w:p w:rsidR="00EF6EB5" w:rsidRDefault="008E40CA">
            <w:pPr>
              <w:pStyle w:val="1"/>
              <w:rPr>
                <w:rFonts w:ascii="Arial CYR" w:hAnsi="Arial CYR"/>
              </w:rPr>
            </w:pPr>
            <w:r>
              <w:rPr>
                <w:rFonts w:ascii="Arial" w:hAnsi="Arial"/>
              </w:rPr>
              <w:t>4</w:t>
            </w:r>
          </w:p>
        </w:tc>
        <w:tc>
          <w:tcPr>
            <w:tcW w:w="426" w:type="dxa"/>
            <w:vAlign w:val="center"/>
          </w:tcPr>
          <w:p w:rsidR="00EF6EB5" w:rsidRDefault="008E40CA">
            <w:pPr>
              <w:pStyle w:val="1"/>
              <w:rPr>
                <w:rFonts w:ascii="Arial CYR" w:hAnsi="Arial CYR"/>
              </w:rPr>
            </w:pPr>
            <w:r>
              <w:rPr>
                <w:rFonts w:ascii="Arial" w:hAnsi="Arial"/>
              </w:rPr>
              <w:t>4</w:t>
            </w:r>
          </w:p>
        </w:tc>
        <w:tc>
          <w:tcPr>
            <w:tcW w:w="567" w:type="dxa"/>
            <w:vAlign w:val="center"/>
          </w:tcPr>
          <w:p w:rsidR="00EF6EB5" w:rsidRDefault="008E40CA">
            <w:pPr>
              <w:pStyle w:val="1"/>
              <w:rPr>
                <w:rFonts w:ascii="Arial CYR" w:hAnsi="Arial CYR"/>
              </w:rPr>
            </w:pPr>
            <w:r>
              <w:rPr>
                <w:rFonts w:ascii="Arial" w:hAnsi="Arial"/>
              </w:rPr>
              <w:t>3</w:t>
            </w:r>
          </w:p>
        </w:tc>
        <w:tc>
          <w:tcPr>
            <w:tcW w:w="567" w:type="dxa"/>
            <w:vAlign w:val="center"/>
          </w:tcPr>
          <w:p w:rsidR="00EF6EB5" w:rsidRDefault="008E40CA">
            <w:pPr>
              <w:pStyle w:val="1"/>
              <w:rPr>
                <w:rFonts w:ascii="Arial CYR" w:hAnsi="Arial CYR"/>
              </w:rPr>
            </w:pPr>
            <w:r>
              <w:rPr>
                <w:rFonts w:ascii="Arial" w:hAnsi="Arial"/>
              </w:rPr>
              <w:t>4</w:t>
            </w:r>
          </w:p>
        </w:tc>
        <w:tc>
          <w:tcPr>
            <w:tcW w:w="425" w:type="dxa"/>
            <w:vAlign w:val="center"/>
          </w:tcPr>
          <w:p w:rsidR="00EF6EB5" w:rsidRDefault="008E40CA">
            <w:pPr>
              <w:pStyle w:val="1"/>
              <w:rPr>
                <w:rFonts w:ascii="Arial CYR" w:hAnsi="Arial CYR"/>
              </w:rPr>
            </w:pPr>
            <w:r>
              <w:rPr>
                <w:rFonts w:ascii="Arial" w:hAnsi="Arial"/>
              </w:rPr>
              <w:t>4</w:t>
            </w:r>
          </w:p>
        </w:tc>
        <w:tc>
          <w:tcPr>
            <w:tcW w:w="428" w:type="dxa"/>
            <w:vAlign w:val="center"/>
          </w:tcPr>
          <w:p w:rsidR="00EF6EB5" w:rsidRDefault="008E40CA">
            <w:pPr>
              <w:pStyle w:val="1"/>
              <w:rPr>
                <w:rFonts w:ascii="Arial CYR" w:hAnsi="Arial CYR"/>
              </w:rPr>
            </w:pPr>
            <w:r>
              <w:rPr>
                <w:rFonts w:ascii="Arial" w:hAnsi="Arial"/>
              </w:rPr>
              <w:t>5</w:t>
            </w:r>
          </w:p>
        </w:tc>
      </w:tr>
      <w:tr w:rsidR="009A5AD7" w:rsidTr="009A5AD7">
        <w:trPr>
          <w:jc w:val="center"/>
        </w:trPr>
        <w:tc>
          <w:tcPr>
            <w:tcW w:w="9363" w:type="dxa"/>
            <w:gridSpan w:val="13"/>
            <w:vAlign w:val="center"/>
          </w:tcPr>
          <w:p w:rsidR="00EF6EB5" w:rsidRDefault="008E40CA">
            <w:pPr>
              <w:pStyle w:val="1"/>
              <w:rPr>
                <w:rFonts w:ascii="Arial CYR" w:hAnsi="Arial CYR"/>
              </w:rPr>
            </w:pPr>
            <w:r>
              <w:rPr>
                <w:rFonts w:ascii="Arial" w:hAnsi="Arial"/>
              </w:rPr>
              <w:t>Государства с "подавленной" экономикой</w:t>
            </w:r>
          </w:p>
        </w:tc>
      </w:tr>
      <w:tr w:rsidR="00EF6EB5">
        <w:trPr>
          <w:jc w:val="center"/>
        </w:trPr>
        <w:tc>
          <w:tcPr>
            <w:tcW w:w="2414" w:type="dxa"/>
            <w:vAlign w:val="center"/>
          </w:tcPr>
          <w:p w:rsidR="00EF6EB5" w:rsidRDefault="008E40CA">
            <w:pPr>
              <w:pStyle w:val="1"/>
              <w:rPr>
                <w:rFonts w:ascii="Arial CYR" w:hAnsi="Arial CYR"/>
              </w:rPr>
            </w:pPr>
            <w:r>
              <w:rPr>
                <w:rFonts w:ascii="Arial" w:hAnsi="Arial"/>
              </w:rPr>
              <w:t>Экв. Гвинея</w:t>
            </w:r>
          </w:p>
        </w:tc>
        <w:tc>
          <w:tcPr>
            <w:tcW w:w="1276" w:type="dxa"/>
            <w:vAlign w:val="center"/>
          </w:tcPr>
          <w:p w:rsidR="00EF6EB5" w:rsidRDefault="008E40CA">
            <w:pPr>
              <w:pStyle w:val="1"/>
              <w:rPr>
                <w:rFonts w:ascii="Arial CYR" w:hAnsi="Arial CYR"/>
              </w:rPr>
            </w:pPr>
            <w:r>
              <w:rPr>
                <w:rFonts w:ascii="Arial" w:hAnsi="Arial"/>
              </w:rPr>
              <w:t>144</w:t>
            </w:r>
          </w:p>
        </w:tc>
        <w:tc>
          <w:tcPr>
            <w:tcW w:w="1134" w:type="dxa"/>
            <w:vAlign w:val="center"/>
          </w:tcPr>
          <w:p w:rsidR="00EF6EB5" w:rsidRDefault="008E40CA">
            <w:pPr>
              <w:pStyle w:val="1"/>
              <w:rPr>
                <w:rFonts w:ascii="Arial CYR" w:hAnsi="Arial CYR"/>
              </w:rPr>
            </w:pPr>
            <w:r>
              <w:rPr>
                <w:rFonts w:ascii="Arial" w:hAnsi="Arial"/>
              </w:rPr>
              <w:t>4,05</w:t>
            </w:r>
          </w:p>
        </w:tc>
        <w:tc>
          <w:tcPr>
            <w:tcW w:w="425" w:type="dxa"/>
            <w:vAlign w:val="center"/>
          </w:tcPr>
          <w:p w:rsidR="00EF6EB5" w:rsidRDefault="008E40CA">
            <w:pPr>
              <w:pStyle w:val="1"/>
              <w:rPr>
                <w:rFonts w:ascii="Arial CYR" w:hAnsi="Arial CYR"/>
              </w:rPr>
            </w:pPr>
            <w:r>
              <w:rPr>
                <w:rFonts w:ascii="Arial" w:hAnsi="Arial"/>
              </w:rPr>
              <w:t>4</w:t>
            </w:r>
          </w:p>
        </w:tc>
        <w:tc>
          <w:tcPr>
            <w:tcW w:w="426" w:type="dxa"/>
            <w:vAlign w:val="center"/>
          </w:tcPr>
          <w:p w:rsidR="00EF6EB5" w:rsidRDefault="008E40CA">
            <w:pPr>
              <w:pStyle w:val="1"/>
              <w:rPr>
                <w:rFonts w:ascii="Arial CYR" w:hAnsi="Arial CYR"/>
              </w:rPr>
            </w:pPr>
            <w:r>
              <w:rPr>
                <w:rFonts w:ascii="Arial" w:hAnsi="Arial"/>
              </w:rPr>
              <w:t>2,5</w:t>
            </w:r>
          </w:p>
        </w:tc>
        <w:tc>
          <w:tcPr>
            <w:tcW w:w="425" w:type="dxa"/>
            <w:vAlign w:val="center"/>
          </w:tcPr>
          <w:p w:rsidR="00EF6EB5" w:rsidRDefault="008E40CA">
            <w:pPr>
              <w:pStyle w:val="1"/>
              <w:rPr>
                <w:rFonts w:ascii="Arial CYR" w:hAnsi="Arial CYR"/>
              </w:rPr>
            </w:pPr>
            <w:r>
              <w:rPr>
                <w:rFonts w:ascii="Arial" w:hAnsi="Arial"/>
              </w:rPr>
              <w:t>3</w:t>
            </w:r>
          </w:p>
        </w:tc>
        <w:tc>
          <w:tcPr>
            <w:tcW w:w="425" w:type="dxa"/>
            <w:vAlign w:val="center"/>
          </w:tcPr>
          <w:p w:rsidR="00EF6EB5" w:rsidRDefault="008E40CA">
            <w:pPr>
              <w:pStyle w:val="1"/>
              <w:rPr>
                <w:rFonts w:ascii="Arial CYR" w:hAnsi="Arial CYR"/>
              </w:rPr>
            </w:pPr>
            <w:r>
              <w:rPr>
                <w:rFonts w:ascii="Arial" w:hAnsi="Arial"/>
              </w:rPr>
              <w:t>3</w:t>
            </w:r>
          </w:p>
        </w:tc>
        <w:tc>
          <w:tcPr>
            <w:tcW w:w="425" w:type="dxa"/>
            <w:vAlign w:val="center"/>
          </w:tcPr>
          <w:p w:rsidR="00EF6EB5" w:rsidRDefault="008E40CA">
            <w:pPr>
              <w:pStyle w:val="1"/>
              <w:rPr>
                <w:rFonts w:ascii="Arial CYR" w:hAnsi="Arial CYR"/>
              </w:rPr>
            </w:pPr>
            <w:r>
              <w:rPr>
                <w:rFonts w:ascii="Arial" w:hAnsi="Arial"/>
              </w:rPr>
              <w:t>4</w:t>
            </w:r>
          </w:p>
        </w:tc>
        <w:tc>
          <w:tcPr>
            <w:tcW w:w="426" w:type="dxa"/>
            <w:vAlign w:val="center"/>
          </w:tcPr>
          <w:p w:rsidR="00EF6EB5" w:rsidRDefault="008E40CA">
            <w:pPr>
              <w:pStyle w:val="1"/>
              <w:rPr>
                <w:rFonts w:ascii="Arial CYR" w:hAnsi="Arial CYR"/>
              </w:rPr>
            </w:pPr>
            <w:r>
              <w:rPr>
                <w:rFonts w:ascii="Arial" w:hAnsi="Arial"/>
              </w:rPr>
              <w:t>5</w:t>
            </w:r>
          </w:p>
        </w:tc>
        <w:tc>
          <w:tcPr>
            <w:tcW w:w="567" w:type="dxa"/>
            <w:vAlign w:val="center"/>
          </w:tcPr>
          <w:p w:rsidR="00EF6EB5" w:rsidRDefault="008E40CA">
            <w:pPr>
              <w:pStyle w:val="1"/>
              <w:rPr>
                <w:rFonts w:ascii="Arial CYR" w:hAnsi="Arial CYR"/>
              </w:rPr>
            </w:pPr>
            <w:r>
              <w:rPr>
                <w:rFonts w:ascii="Arial" w:hAnsi="Arial"/>
              </w:rPr>
              <w:t>5</w:t>
            </w:r>
          </w:p>
        </w:tc>
        <w:tc>
          <w:tcPr>
            <w:tcW w:w="567" w:type="dxa"/>
            <w:vAlign w:val="center"/>
          </w:tcPr>
          <w:p w:rsidR="00EF6EB5" w:rsidRDefault="008E40CA">
            <w:pPr>
              <w:pStyle w:val="1"/>
              <w:rPr>
                <w:rFonts w:ascii="Arial CYR" w:hAnsi="Arial CYR"/>
              </w:rPr>
            </w:pPr>
            <w:r>
              <w:rPr>
                <w:rFonts w:ascii="Arial" w:hAnsi="Arial"/>
              </w:rPr>
              <w:t>5</w:t>
            </w:r>
          </w:p>
        </w:tc>
        <w:tc>
          <w:tcPr>
            <w:tcW w:w="425" w:type="dxa"/>
            <w:vAlign w:val="center"/>
          </w:tcPr>
          <w:p w:rsidR="00EF6EB5" w:rsidRDefault="008E40CA">
            <w:pPr>
              <w:pStyle w:val="1"/>
              <w:rPr>
                <w:rFonts w:ascii="Arial CYR" w:hAnsi="Arial CYR"/>
              </w:rPr>
            </w:pPr>
            <w:r>
              <w:rPr>
                <w:rFonts w:ascii="Arial" w:hAnsi="Arial"/>
              </w:rPr>
              <w:t>4</w:t>
            </w:r>
          </w:p>
        </w:tc>
        <w:tc>
          <w:tcPr>
            <w:tcW w:w="428" w:type="dxa"/>
            <w:vAlign w:val="center"/>
          </w:tcPr>
          <w:p w:rsidR="00EF6EB5" w:rsidRDefault="008E40CA">
            <w:pPr>
              <w:pStyle w:val="1"/>
              <w:rPr>
                <w:rFonts w:ascii="Arial CYR" w:hAnsi="Arial CYR"/>
              </w:rPr>
            </w:pPr>
            <w:r>
              <w:rPr>
                <w:rFonts w:ascii="Arial" w:hAnsi="Arial"/>
              </w:rPr>
              <w:t>5</w:t>
            </w:r>
          </w:p>
        </w:tc>
      </w:tr>
      <w:tr w:rsidR="00EF6EB5">
        <w:trPr>
          <w:jc w:val="center"/>
        </w:trPr>
        <w:tc>
          <w:tcPr>
            <w:tcW w:w="2414" w:type="dxa"/>
            <w:vAlign w:val="center"/>
          </w:tcPr>
          <w:p w:rsidR="00EF6EB5" w:rsidRDefault="008E40CA">
            <w:pPr>
              <w:pStyle w:val="1"/>
              <w:rPr>
                <w:rFonts w:ascii="Arial CYR" w:hAnsi="Arial CYR"/>
              </w:rPr>
            </w:pPr>
            <w:r>
              <w:rPr>
                <w:rFonts w:ascii="Arial" w:hAnsi="Arial"/>
              </w:rPr>
              <w:t>Ангола</w:t>
            </w:r>
          </w:p>
        </w:tc>
        <w:tc>
          <w:tcPr>
            <w:tcW w:w="1276" w:type="dxa"/>
            <w:vAlign w:val="center"/>
          </w:tcPr>
          <w:p w:rsidR="00EF6EB5" w:rsidRDefault="008E40CA">
            <w:pPr>
              <w:pStyle w:val="1"/>
              <w:rPr>
                <w:rFonts w:ascii="Arial CYR" w:hAnsi="Arial CYR"/>
              </w:rPr>
            </w:pPr>
            <w:r>
              <w:rPr>
                <w:rFonts w:ascii="Arial" w:hAnsi="Arial"/>
              </w:rPr>
              <w:t>153</w:t>
            </w:r>
          </w:p>
        </w:tc>
        <w:tc>
          <w:tcPr>
            <w:tcW w:w="1134" w:type="dxa"/>
            <w:vAlign w:val="center"/>
          </w:tcPr>
          <w:p w:rsidR="00EF6EB5" w:rsidRDefault="008E40CA">
            <w:pPr>
              <w:pStyle w:val="1"/>
              <w:rPr>
                <w:rFonts w:ascii="Arial CYR" w:hAnsi="Arial CYR"/>
              </w:rPr>
            </w:pPr>
            <w:r>
              <w:rPr>
                <w:rFonts w:ascii="Arial" w:hAnsi="Arial"/>
              </w:rPr>
              <w:t>4,50</w:t>
            </w:r>
          </w:p>
        </w:tc>
        <w:tc>
          <w:tcPr>
            <w:tcW w:w="425" w:type="dxa"/>
            <w:vAlign w:val="center"/>
          </w:tcPr>
          <w:p w:rsidR="00EF6EB5" w:rsidRDefault="008E40CA">
            <w:pPr>
              <w:pStyle w:val="1"/>
              <w:rPr>
                <w:rFonts w:ascii="Arial CYR" w:hAnsi="Arial CYR"/>
              </w:rPr>
            </w:pPr>
            <w:r>
              <w:rPr>
                <w:rFonts w:ascii="Arial" w:hAnsi="Arial"/>
              </w:rPr>
              <w:t>5</w:t>
            </w:r>
          </w:p>
        </w:tc>
        <w:tc>
          <w:tcPr>
            <w:tcW w:w="426" w:type="dxa"/>
            <w:vAlign w:val="center"/>
          </w:tcPr>
          <w:p w:rsidR="00EF6EB5" w:rsidRDefault="008E40CA">
            <w:pPr>
              <w:pStyle w:val="1"/>
              <w:rPr>
                <w:rFonts w:ascii="Arial CYR" w:hAnsi="Arial CYR"/>
              </w:rPr>
            </w:pPr>
            <w:r>
              <w:rPr>
                <w:rFonts w:ascii="Arial" w:hAnsi="Arial"/>
              </w:rPr>
              <w:t>4</w:t>
            </w:r>
          </w:p>
        </w:tc>
        <w:tc>
          <w:tcPr>
            <w:tcW w:w="425" w:type="dxa"/>
            <w:vAlign w:val="center"/>
          </w:tcPr>
          <w:p w:rsidR="00EF6EB5" w:rsidRDefault="008E40CA">
            <w:pPr>
              <w:pStyle w:val="1"/>
              <w:rPr>
                <w:rFonts w:ascii="Arial CYR" w:hAnsi="Arial CYR"/>
              </w:rPr>
            </w:pPr>
            <w:r>
              <w:rPr>
                <w:rFonts w:ascii="Arial" w:hAnsi="Arial"/>
              </w:rPr>
              <w:t>5</w:t>
            </w:r>
          </w:p>
        </w:tc>
        <w:tc>
          <w:tcPr>
            <w:tcW w:w="425" w:type="dxa"/>
            <w:vAlign w:val="center"/>
          </w:tcPr>
          <w:p w:rsidR="00EF6EB5" w:rsidRDefault="008E40CA">
            <w:pPr>
              <w:pStyle w:val="1"/>
              <w:rPr>
                <w:rFonts w:ascii="Arial CYR" w:hAnsi="Arial CYR"/>
              </w:rPr>
            </w:pPr>
            <w:r>
              <w:rPr>
                <w:rFonts w:ascii="Arial" w:hAnsi="Arial"/>
              </w:rPr>
              <w:t>5</w:t>
            </w:r>
          </w:p>
        </w:tc>
        <w:tc>
          <w:tcPr>
            <w:tcW w:w="425" w:type="dxa"/>
            <w:vAlign w:val="center"/>
          </w:tcPr>
          <w:p w:rsidR="00EF6EB5" w:rsidRDefault="008E40CA">
            <w:pPr>
              <w:pStyle w:val="1"/>
              <w:rPr>
                <w:rFonts w:ascii="Arial CYR" w:hAnsi="Arial CYR"/>
              </w:rPr>
            </w:pPr>
            <w:r>
              <w:rPr>
                <w:rFonts w:ascii="Arial" w:hAnsi="Arial"/>
              </w:rPr>
              <w:t>4</w:t>
            </w:r>
          </w:p>
        </w:tc>
        <w:tc>
          <w:tcPr>
            <w:tcW w:w="426" w:type="dxa"/>
            <w:vAlign w:val="center"/>
          </w:tcPr>
          <w:p w:rsidR="00EF6EB5" w:rsidRDefault="008E40CA">
            <w:pPr>
              <w:pStyle w:val="1"/>
              <w:rPr>
                <w:rFonts w:ascii="Arial CYR" w:hAnsi="Arial CYR"/>
              </w:rPr>
            </w:pPr>
            <w:r>
              <w:rPr>
                <w:rFonts w:ascii="Arial" w:hAnsi="Arial"/>
              </w:rPr>
              <w:t>4</w:t>
            </w:r>
          </w:p>
        </w:tc>
        <w:tc>
          <w:tcPr>
            <w:tcW w:w="567" w:type="dxa"/>
            <w:vAlign w:val="center"/>
          </w:tcPr>
          <w:p w:rsidR="00EF6EB5" w:rsidRDefault="008E40CA">
            <w:pPr>
              <w:pStyle w:val="1"/>
              <w:rPr>
                <w:rFonts w:ascii="Arial CYR" w:hAnsi="Arial CYR"/>
              </w:rPr>
            </w:pPr>
            <w:r>
              <w:rPr>
                <w:rFonts w:ascii="Arial" w:hAnsi="Arial"/>
              </w:rPr>
              <w:t>4</w:t>
            </w:r>
          </w:p>
        </w:tc>
        <w:tc>
          <w:tcPr>
            <w:tcW w:w="567" w:type="dxa"/>
            <w:vAlign w:val="center"/>
          </w:tcPr>
          <w:p w:rsidR="00EF6EB5" w:rsidRDefault="008E40CA">
            <w:pPr>
              <w:pStyle w:val="1"/>
              <w:rPr>
                <w:rFonts w:ascii="Arial CYR" w:hAnsi="Arial CYR"/>
              </w:rPr>
            </w:pPr>
            <w:r>
              <w:rPr>
                <w:rFonts w:ascii="Arial" w:hAnsi="Arial"/>
              </w:rPr>
              <w:t>4</w:t>
            </w:r>
          </w:p>
        </w:tc>
        <w:tc>
          <w:tcPr>
            <w:tcW w:w="425" w:type="dxa"/>
            <w:vAlign w:val="center"/>
          </w:tcPr>
          <w:p w:rsidR="00EF6EB5" w:rsidRDefault="008E40CA">
            <w:pPr>
              <w:pStyle w:val="1"/>
              <w:rPr>
                <w:rFonts w:ascii="Arial CYR" w:hAnsi="Arial CYR"/>
              </w:rPr>
            </w:pPr>
            <w:r>
              <w:rPr>
                <w:rFonts w:ascii="Arial" w:hAnsi="Arial"/>
              </w:rPr>
              <w:t>5</w:t>
            </w:r>
          </w:p>
        </w:tc>
        <w:tc>
          <w:tcPr>
            <w:tcW w:w="428" w:type="dxa"/>
            <w:vAlign w:val="center"/>
          </w:tcPr>
          <w:p w:rsidR="00EF6EB5" w:rsidRDefault="008E40CA">
            <w:pPr>
              <w:pStyle w:val="1"/>
              <w:rPr>
                <w:rFonts w:ascii="Arial CYR" w:hAnsi="Arial CYR"/>
              </w:rPr>
            </w:pPr>
            <w:r>
              <w:rPr>
                <w:rFonts w:ascii="Arial" w:hAnsi="Arial"/>
              </w:rPr>
              <w:t>5</w:t>
            </w:r>
          </w:p>
        </w:tc>
      </w:tr>
      <w:tr w:rsidR="00EF6EB5">
        <w:trPr>
          <w:jc w:val="center"/>
        </w:trPr>
        <w:tc>
          <w:tcPr>
            <w:tcW w:w="2414" w:type="dxa"/>
            <w:vAlign w:val="center"/>
          </w:tcPr>
          <w:p w:rsidR="00EF6EB5" w:rsidRDefault="008E40CA">
            <w:pPr>
              <w:pStyle w:val="1"/>
              <w:rPr>
                <w:rFonts w:ascii="Arial CYR" w:hAnsi="Arial CYR"/>
              </w:rPr>
            </w:pPr>
            <w:r>
              <w:rPr>
                <w:rFonts w:ascii="Arial" w:hAnsi="Arial"/>
              </w:rPr>
              <w:t>Заир</w:t>
            </w:r>
          </w:p>
        </w:tc>
        <w:tc>
          <w:tcPr>
            <w:tcW w:w="1276" w:type="dxa"/>
            <w:vAlign w:val="center"/>
          </w:tcPr>
          <w:p w:rsidR="00EF6EB5" w:rsidRDefault="008E40CA">
            <w:pPr>
              <w:pStyle w:val="1"/>
              <w:rPr>
                <w:rFonts w:ascii="Arial CYR" w:hAnsi="Arial CYR"/>
              </w:rPr>
            </w:pPr>
            <w:r>
              <w:rPr>
                <w:rFonts w:ascii="Arial" w:hAnsi="Arial"/>
              </w:rPr>
              <w:t>156</w:t>
            </w:r>
          </w:p>
        </w:tc>
        <w:tc>
          <w:tcPr>
            <w:tcW w:w="1134" w:type="dxa"/>
            <w:vAlign w:val="center"/>
          </w:tcPr>
          <w:p w:rsidR="00EF6EB5" w:rsidRDefault="008E40CA">
            <w:pPr>
              <w:pStyle w:val="1"/>
              <w:rPr>
                <w:rFonts w:ascii="Arial CYR" w:hAnsi="Arial CYR"/>
              </w:rPr>
            </w:pPr>
            <w:r>
              <w:rPr>
                <w:rFonts w:ascii="Arial" w:hAnsi="Arial"/>
              </w:rPr>
              <w:t>4,70</w:t>
            </w:r>
          </w:p>
        </w:tc>
        <w:tc>
          <w:tcPr>
            <w:tcW w:w="425" w:type="dxa"/>
            <w:vAlign w:val="center"/>
          </w:tcPr>
          <w:p w:rsidR="00EF6EB5" w:rsidRDefault="008E40CA">
            <w:pPr>
              <w:pStyle w:val="1"/>
              <w:rPr>
                <w:rFonts w:ascii="Arial CYR" w:hAnsi="Arial CYR"/>
              </w:rPr>
            </w:pPr>
            <w:r>
              <w:rPr>
                <w:rFonts w:ascii="Arial" w:hAnsi="Arial"/>
              </w:rPr>
              <w:t>5</w:t>
            </w:r>
          </w:p>
        </w:tc>
        <w:tc>
          <w:tcPr>
            <w:tcW w:w="426" w:type="dxa"/>
            <w:vAlign w:val="center"/>
          </w:tcPr>
          <w:p w:rsidR="00EF6EB5" w:rsidRDefault="008E40CA">
            <w:pPr>
              <w:pStyle w:val="1"/>
              <w:rPr>
                <w:rFonts w:ascii="Arial CYR" w:hAnsi="Arial CYR"/>
              </w:rPr>
            </w:pPr>
            <w:r>
              <w:rPr>
                <w:rFonts w:ascii="Arial" w:hAnsi="Arial"/>
              </w:rPr>
              <w:t>5</w:t>
            </w:r>
          </w:p>
        </w:tc>
        <w:tc>
          <w:tcPr>
            <w:tcW w:w="425" w:type="dxa"/>
            <w:vAlign w:val="center"/>
          </w:tcPr>
          <w:p w:rsidR="00EF6EB5" w:rsidRDefault="008E40CA">
            <w:pPr>
              <w:pStyle w:val="1"/>
              <w:rPr>
                <w:rFonts w:ascii="Arial CYR" w:hAnsi="Arial CYR"/>
              </w:rPr>
            </w:pPr>
            <w:r>
              <w:rPr>
                <w:rFonts w:ascii="Arial" w:hAnsi="Arial"/>
              </w:rPr>
              <w:t>4</w:t>
            </w:r>
          </w:p>
        </w:tc>
        <w:tc>
          <w:tcPr>
            <w:tcW w:w="425" w:type="dxa"/>
            <w:vAlign w:val="center"/>
          </w:tcPr>
          <w:p w:rsidR="00EF6EB5" w:rsidRDefault="008E40CA">
            <w:pPr>
              <w:pStyle w:val="1"/>
              <w:rPr>
                <w:rFonts w:ascii="Arial CYR" w:hAnsi="Arial CYR"/>
              </w:rPr>
            </w:pPr>
            <w:r>
              <w:rPr>
                <w:rFonts w:ascii="Arial" w:hAnsi="Arial"/>
              </w:rPr>
              <w:t>5</w:t>
            </w:r>
          </w:p>
        </w:tc>
        <w:tc>
          <w:tcPr>
            <w:tcW w:w="425" w:type="dxa"/>
            <w:vAlign w:val="center"/>
          </w:tcPr>
          <w:p w:rsidR="00EF6EB5" w:rsidRDefault="008E40CA">
            <w:pPr>
              <w:pStyle w:val="1"/>
              <w:rPr>
                <w:rFonts w:ascii="Arial CYR" w:hAnsi="Arial CYR"/>
              </w:rPr>
            </w:pPr>
            <w:r>
              <w:rPr>
                <w:rFonts w:ascii="Arial" w:hAnsi="Arial"/>
              </w:rPr>
              <w:t>5</w:t>
            </w:r>
          </w:p>
        </w:tc>
        <w:tc>
          <w:tcPr>
            <w:tcW w:w="426" w:type="dxa"/>
            <w:vAlign w:val="center"/>
          </w:tcPr>
          <w:p w:rsidR="00EF6EB5" w:rsidRDefault="008E40CA">
            <w:pPr>
              <w:pStyle w:val="1"/>
              <w:rPr>
                <w:rFonts w:ascii="Arial CYR" w:hAnsi="Arial CYR"/>
              </w:rPr>
            </w:pPr>
            <w:r>
              <w:rPr>
                <w:rFonts w:ascii="Arial" w:hAnsi="Arial"/>
              </w:rPr>
              <w:t>5</w:t>
            </w:r>
          </w:p>
        </w:tc>
        <w:tc>
          <w:tcPr>
            <w:tcW w:w="567" w:type="dxa"/>
            <w:vAlign w:val="center"/>
          </w:tcPr>
          <w:p w:rsidR="00EF6EB5" w:rsidRDefault="008E40CA">
            <w:pPr>
              <w:pStyle w:val="1"/>
              <w:rPr>
                <w:rFonts w:ascii="Arial CYR" w:hAnsi="Arial CYR"/>
              </w:rPr>
            </w:pPr>
            <w:r>
              <w:rPr>
                <w:rFonts w:ascii="Arial" w:hAnsi="Arial"/>
              </w:rPr>
              <w:t>4</w:t>
            </w:r>
          </w:p>
        </w:tc>
        <w:tc>
          <w:tcPr>
            <w:tcW w:w="567" w:type="dxa"/>
            <w:vAlign w:val="center"/>
          </w:tcPr>
          <w:p w:rsidR="00EF6EB5" w:rsidRDefault="008E40CA">
            <w:pPr>
              <w:pStyle w:val="1"/>
              <w:rPr>
                <w:rFonts w:ascii="Arial CYR" w:hAnsi="Arial CYR"/>
              </w:rPr>
            </w:pPr>
            <w:r>
              <w:rPr>
                <w:rFonts w:ascii="Arial" w:hAnsi="Arial"/>
              </w:rPr>
              <w:t>5</w:t>
            </w:r>
          </w:p>
        </w:tc>
        <w:tc>
          <w:tcPr>
            <w:tcW w:w="425" w:type="dxa"/>
            <w:vAlign w:val="center"/>
          </w:tcPr>
          <w:p w:rsidR="00EF6EB5" w:rsidRDefault="008E40CA">
            <w:pPr>
              <w:pStyle w:val="1"/>
              <w:rPr>
                <w:rFonts w:ascii="Arial CYR" w:hAnsi="Arial CYR"/>
              </w:rPr>
            </w:pPr>
            <w:r>
              <w:rPr>
                <w:rFonts w:ascii="Arial" w:hAnsi="Arial"/>
              </w:rPr>
              <w:t>4</w:t>
            </w:r>
          </w:p>
        </w:tc>
        <w:tc>
          <w:tcPr>
            <w:tcW w:w="428" w:type="dxa"/>
            <w:vAlign w:val="center"/>
          </w:tcPr>
          <w:p w:rsidR="00EF6EB5" w:rsidRDefault="008E40CA">
            <w:pPr>
              <w:pStyle w:val="1"/>
              <w:rPr>
                <w:rFonts w:ascii="Arial CYR" w:hAnsi="Arial CYR"/>
              </w:rPr>
            </w:pPr>
            <w:r>
              <w:rPr>
                <w:rFonts w:ascii="Arial" w:hAnsi="Arial"/>
              </w:rPr>
              <w:t>5</w:t>
            </w:r>
          </w:p>
        </w:tc>
      </w:tr>
      <w:tr w:rsidR="009A5AD7" w:rsidTr="009A5AD7">
        <w:trPr>
          <w:jc w:val="center"/>
        </w:trPr>
        <w:tc>
          <w:tcPr>
            <w:tcW w:w="9363" w:type="dxa"/>
            <w:gridSpan w:val="13"/>
            <w:vAlign w:val="center"/>
          </w:tcPr>
          <w:p w:rsidR="00EF6EB5" w:rsidRDefault="008E40CA">
            <w:pPr>
              <w:pStyle w:val="1"/>
              <w:rPr>
                <w:rFonts w:ascii="Arial CYR" w:hAnsi="Arial CYR"/>
              </w:rPr>
            </w:pPr>
            <w:r>
              <w:rPr>
                <w:rFonts w:ascii="Arial" w:hAnsi="Arial"/>
                <w:b/>
              </w:rPr>
              <w:t>Источник: Index of Economic Freedom, 2000 г.</w:t>
            </w:r>
          </w:p>
        </w:tc>
      </w:tr>
    </w:tbl>
    <w:p w:rsidR="00EF6EB5" w:rsidRDefault="00EF6EB5">
      <w:pPr>
        <w:pStyle w:val="1"/>
        <w:rPr>
          <w:sz w:val="28"/>
        </w:rPr>
      </w:pPr>
    </w:p>
    <w:p w:rsidR="00EF6EB5" w:rsidRDefault="00EF6EB5">
      <w:pPr>
        <w:pStyle w:val="1"/>
        <w:rPr>
          <w:sz w:val="28"/>
        </w:rPr>
      </w:pPr>
    </w:p>
    <w:p w:rsidR="00EF6EB5" w:rsidRDefault="00EF6EB5">
      <w:pPr>
        <w:pStyle w:val="1"/>
        <w:rPr>
          <w:sz w:val="28"/>
        </w:rPr>
      </w:pPr>
    </w:p>
    <w:p w:rsidR="00EF6EB5" w:rsidRDefault="008E40CA">
      <w:pPr>
        <w:pStyle w:val="1"/>
        <w:rPr>
          <w:b/>
          <w:i/>
          <w:sz w:val="28"/>
          <w:u w:val="single"/>
        </w:rPr>
      </w:pPr>
      <w:r>
        <w:rPr>
          <w:b/>
          <w:i/>
          <w:sz w:val="28"/>
          <w:u w:val="single"/>
        </w:rPr>
        <w:t>Нефтепровод Чад-Камерун</w:t>
      </w:r>
    </w:p>
    <w:p w:rsidR="00EF6EB5" w:rsidRDefault="008E40CA">
      <w:pPr>
        <w:pStyle w:val="1"/>
        <w:rPr>
          <w:sz w:val="26"/>
        </w:rPr>
      </w:pPr>
      <w:r>
        <w:rPr>
          <w:sz w:val="26"/>
        </w:rPr>
        <w:t>С 1992г. находится в разработке проект нефтепровода Чад – Камерун. Богатые нефтяные месторождения в районе Добы на юге Чада были разведаны уже давно, добыча на них может достигать 400 тыс.барр. в сутки, а эксплуатация – продолжаться в течение 30 лет. Было необходимо принять решение о том, каким образом можно воспользоваться этим богатством, учитывая анклавность страны, перманентно взрывоопасную ситуацию внутри нее и в регионе в целом, отсутствие инфраструктуры и т.п. целом, отсутствие инфраструктуры и т.п.</w:t>
      </w:r>
    </w:p>
    <w:p w:rsidR="00EF6EB5" w:rsidRDefault="008E40CA">
      <w:pPr>
        <w:pStyle w:val="1"/>
        <w:rPr>
          <w:sz w:val="26"/>
        </w:rPr>
      </w:pPr>
      <w:r>
        <w:rPr>
          <w:sz w:val="26"/>
        </w:rPr>
        <w:t>После проведенного тщательного анализа один за другим отпали «суданский», «ливийский» и «нигерский» варианты из-за полного отсутствия, с точки зрения западников, гарантий безопасности. В итоге, наиболее приемлемым было признано камерунское направление – до терминала в Криби на атлантическом побережье. Реализацию проекта взял на себя консорциум в составе трех крупнейших ТНК: американской «Эксон», англо-голландской «Шелл» и французской «Эльф», причем главными застрельщиками выступали американцы. В целях обеспечения строительства и последующей эксплуатации нефтепровода на местах были образованы два СП: Tchad Oil Transportation Company (ТОТКО) и Cameroon Oil Transportation Company (KOTKO).</w:t>
      </w:r>
    </w:p>
    <w:p w:rsidR="00EF6EB5" w:rsidRDefault="008E40CA">
      <w:pPr>
        <w:pStyle w:val="1"/>
        <w:rPr>
          <w:sz w:val="26"/>
        </w:rPr>
      </w:pPr>
      <w:r>
        <w:rPr>
          <w:sz w:val="26"/>
        </w:rPr>
        <w:t xml:space="preserve">Для реализации проекта требуется 1700 млн.долл. Таким образом, капитал KOTKO должен равняться этой сумме. Долевое участие акционеров KOTKO распределяется следующим образом: 97% финансирования осуществляет консорциум, остальные 3% – Чад (35 млрд.фр.КФА) и Камерун (42 млрд.фр.КФА). Консорциум вполне мог бы обойтись и собственными силами. Тем не менее, он предпочитает участие двух государств в акционерном капитале, поскольку их взносы обеспечиваются целевыми кредитами ВБ и его филиалами, а номинально скромные объемы финансирования МБРР на самом деле представляют собой решающие гарантии для основных спонсоров. Однако, согласие Всемирного банка, несмотря на все старания участников проекта, до сих пор так и не получено. </w:t>
      </w:r>
    </w:p>
    <w:p w:rsidR="00EF6EB5" w:rsidRDefault="008E40CA">
      <w:pPr>
        <w:pStyle w:val="1"/>
        <w:rPr>
          <w:sz w:val="26"/>
        </w:rPr>
      </w:pPr>
      <w:r>
        <w:rPr>
          <w:sz w:val="26"/>
        </w:rPr>
        <w:t>Шквал критики в адрес планов консорциума достиг своего апогея в 1997-98 гг., когда после окончания топографических работ была объявлена трасса маршрута нефтепровода на его камерунском участке (880 км.) и площадь затронутой территории была определена в 3400 га. Непримиримыми оппонентами выступили различные партии «зеленых» и неправительственные организации</w:t>
      </w:r>
      <w:r>
        <w:rPr>
          <w:sz w:val="26"/>
        </w:rPr>
        <w:br/>
        <w:t>После трехмесячных дискуссий по проекту в марте 1999 г. были разработаны новые варианты прохождения трассы трубопровода. Для определения самого оптимального в апр. 1999 г. была создана комиссия, которая проконсультировала землевладельцев, по чьим угодьям пройдет линия нефтепровода, а главное – скорректировала трассу в соответствии с пожеланиями экологов. Более 60% маршрута прохождения трассы было модифицировано. Соответственно были законсервированы проводимые ранее работы по созданию первичной инфраструктуры, большинство иностранных специалистов, завербованных консорциумом, прервало или разорвало свои контракты.</w:t>
      </w:r>
    </w:p>
    <w:p w:rsidR="00EF6EB5" w:rsidRDefault="008E40CA">
      <w:pPr>
        <w:pStyle w:val="1"/>
        <w:rPr>
          <w:sz w:val="26"/>
        </w:rPr>
      </w:pPr>
      <w:r>
        <w:rPr>
          <w:sz w:val="26"/>
        </w:rPr>
        <w:t>Дело дошло до того, что в Нджамене стали распространяться настойчивые слухи о возможном варианте эвакуации чадской нефти через Ливийскую пустыню и поисках новых компаньонов; упоминались независимые американские «Тринити газ корпорейшн», «Карбон энерджи груп» и «Ориентал энерджи ресурсес», которые, якобы, обещали инвестировать доли Камеруна и Чада. Правда, на официальном уровне в обеих столицах они всячески опровергались. Камерунский министр по охране окружающей среды и лесного хозяйства С.Н.Ондуа заявил, что «не может быть и речи о том, чтобы трубопровод пошел не через Камерун, а через Ливию».</w:t>
      </w:r>
    </w:p>
    <w:p w:rsidR="00EF6EB5" w:rsidRDefault="008E40CA">
      <w:pPr>
        <w:pStyle w:val="1"/>
        <w:rPr>
          <w:sz w:val="26"/>
        </w:rPr>
      </w:pPr>
      <w:r>
        <w:rPr>
          <w:sz w:val="26"/>
        </w:rPr>
        <w:t>Приводимый перечень обстоятельств, из-за которых строительство нефтепровода могло бы быть отложено на неопределенный срок, довольно обширен:</w:t>
      </w:r>
    </w:p>
    <w:p w:rsidR="00EF6EB5" w:rsidRDefault="008E40CA">
      <w:pPr>
        <w:pStyle w:val="1"/>
        <w:numPr>
          <w:ilvl w:val="0"/>
          <w:numId w:val="5"/>
        </w:numPr>
        <w:rPr>
          <w:sz w:val="26"/>
        </w:rPr>
      </w:pPr>
      <w:r>
        <w:rPr>
          <w:sz w:val="26"/>
        </w:rPr>
        <w:t>снятие эмбарго с Ливии, куда вновь устремились западные нефтяные монополии и скорое возрождение ее нефтяного сектора;</w:t>
      </w:r>
    </w:p>
    <w:p w:rsidR="00EF6EB5" w:rsidRDefault="008E40CA">
      <w:pPr>
        <w:pStyle w:val="1"/>
        <w:numPr>
          <w:ilvl w:val="0"/>
          <w:numId w:val="5"/>
        </w:numPr>
        <w:rPr>
          <w:sz w:val="26"/>
        </w:rPr>
      </w:pPr>
      <w:r>
        <w:rPr>
          <w:sz w:val="26"/>
        </w:rPr>
        <w:t>– возвращение Кот д’Ивуара в «нефтяную семью» – на салоне «Офшор Вест Эфрика» (23-25 марта 1999 г.) в Абиджане принято решение об увеличении эксплуатации и производства нефти, дабы компенсировать потери, понесенные из-за кризиса сельскохозяйственным сектором. Вполне логично, что абиджанская нефть появится на рынке гораздо быстрее, чем первая капля чадской прибудет в Криби;</w:t>
      </w:r>
    </w:p>
    <w:p w:rsidR="00EF6EB5" w:rsidRDefault="008E40CA">
      <w:pPr>
        <w:pStyle w:val="1"/>
        <w:numPr>
          <w:ilvl w:val="0"/>
          <w:numId w:val="5"/>
        </w:numPr>
        <w:rPr>
          <w:sz w:val="26"/>
        </w:rPr>
      </w:pPr>
      <w:r>
        <w:rPr>
          <w:sz w:val="26"/>
        </w:rPr>
        <w:t>– многочисленные геологоразведочные работы, осуществляемые французскими компаниями в Кабинде (Ангола), показали наличие богатых нефтяных месторождений, на которых легко можно наладить добычу;</w:t>
      </w:r>
    </w:p>
    <w:p w:rsidR="00EF6EB5" w:rsidRDefault="008E40CA">
      <w:pPr>
        <w:pStyle w:val="1"/>
        <w:numPr>
          <w:ilvl w:val="0"/>
          <w:numId w:val="5"/>
        </w:numPr>
        <w:rPr>
          <w:sz w:val="26"/>
        </w:rPr>
      </w:pPr>
      <w:r>
        <w:rPr>
          <w:sz w:val="26"/>
        </w:rPr>
        <w:t>– при отсутствии внутренних потрясений в РЭГ эта сторона в ближайшем будущем будет фигурировать в числе наиболее крупных производителей нефти в Африке. Приводились и другие аргументы, но главный вывод был однозначен – в складывающейся ситуации нефтяной рынок вполне может обойтись и без чадцев.</w:t>
      </w:r>
    </w:p>
    <w:p w:rsidR="00EF6EB5" w:rsidRDefault="008E40CA">
      <w:pPr>
        <w:pStyle w:val="1"/>
        <w:rPr>
          <w:sz w:val="26"/>
        </w:rPr>
      </w:pPr>
      <w:r>
        <w:rPr>
          <w:sz w:val="26"/>
        </w:rPr>
        <w:t>Неопределенность с будущим нефтепровода стала рассеиваться лишь в самое последнее время – прежде всего вследствие благоприятной нефтяной конъюнктуры.</w:t>
      </w:r>
    </w:p>
    <w:p w:rsidR="00EF6EB5" w:rsidRDefault="008E40CA">
      <w:pPr>
        <w:pStyle w:val="1"/>
        <w:rPr>
          <w:sz w:val="28"/>
        </w:rPr>
      </w:pPr>
      <w:r>
        <w:rPr>
          <w:sz w:val="26"/>
        </w:rPr>
        <w:t>В плане координации усилий по урегулированию имеющихся финансовых вопросов, отмечается в коммюнике, Камерун с июня 1998 г. принимал участие во всех дискуссиях, в т.ч. в Вашингтоне, Атланте, Париже, Нью-Йорке, проводимых в целях заключения соглашения об условиях финансирования со стороны третьих лиц – кредиторов – Long Form Terme Sheet (LFTS). В данном контексте в июле 1999 г. в Вашингтоне рассматривалось досье акционерного участия Камеруна в капитале КОТКО.</w:t>
      </w:r>
      <w:r>
        <w:rPr>
          <w:sz w:val="26"/>
        </w:rPr>
        <w:br/>
        <w:t>Указом П.Бийи от 24 авг. 1999 г. в Камеруне образован госкомитет по проекту нефтепровода Чад-Камерун, определены его структура и функции. Председателем комитета назначен А.Мудики – гендиректор НКУ, среди его прерогатив – ведение любых переговоров, имеющих отношение к заключению контрактов по нефтепроводу, координация действий государственных ведомств, вопросы эксплуатации и технического обеспечения, мониторинг экологической ситуации. В состав комитета входят 17 представителей различных министерств и ведомств. Постоянный секретариат комиссии состоит из 6 отделов: охраны окружающей среды, экономики и финансов, администрации и бухучета, инженерного и местного обеспечения, правового, связи и образования.</w:t>
      </w:r>
      <w:r>
        <w:rPr>
          <w:sz w:val="26"/>
        </w:rPr>
        <w:br/>
        <w:t>К прессингу экологов и НПО стали присоединяться голоса местных оппозиционных политических партий и движений (в Чаде – значительнее, в Камеруне – слабее). Наиболее активно в этом плане выступает «Обновленный национальный фронт Чада» (ФНТР), неоднократно призывавший руководство ВБ отказаться от какого-либо участия в проекте. В одном из последних воззваний ФНТР, распространенном в Париже в конце авг. 1999 г., генсек движения Ахмат Якуб аргументировал данную позицию тем, что «финансирование нефтяного проекта означает разделить официальную ответственность за нарушения прав человека с властями Нджамены». В коммюнике Фронта содержались утверждения о карательных операциях, якобы проведенных правительственными войсками в июле-августе на востоке страны, в результате которых было убито более тридцати мирных граждан, заподозренных в сочувствии оппозиции и обращение к международным правозащитным организациям провести независимое расследование данных фактов».</w:t>
      </w:r>
    </w:p>
    <w:p w:rsidR="00EF6EB5" w:rsidRDefault="00EF6EB5">
      <w:pPr>
        <w:pStyle w:val="1"/>
        <w:rPr>
          <w:sz w:val="28"/>
        </w:rPr>
      </w:pPr>
    </w:p>
    <w:p w:rsidR="00EF6EB5" w:rsidRDefault="008E40CA">
      <w:pPr>
        <w:pStyle w:val="1"/>
        <w:rPr>
          <w:b/>
          <w:i/>
          <w:sz w:val="28"/>
          <w:u w:val="single"/>
        </w:rPr>
      </w:pPr>
      <w:r>
        <w:rPr>
          <w:b/>
          <w:i/>
          <w:sz w:val="28"/>
          <w:u w:val="single"/>
        </w:rPr>
        <w:t>Северная Африка</w:t>
      </w:r>
    </w:p>
    <w:p w:rsidR="00EF6EB5" w:rsidRDefault="008E40CA">
      <w:pPr>
        <w:pStyle w:val="1"/>
        <w:rPr>
          <w:sz w:val="26"/>
        </w:rPr>
      </w:pPr>
      <w:r>
        <w:rPr>
          <w:sz w:val="26"/>
        </w:rPr>
        <w:t>Второй нефтегазоносной провинцией на африканском континенте является Северная Африка - бассейны суши и акватории Восточного Средиземноморья и Суэцкого залива. Здесь, в акваториях Египта, разрабатывается 36 месторождений (добыча в 1998 г. - 43 млн т). Работы, проведенные в течение последних лет в Восточном Средиземноморье, показали наличие многочисленных подводных выходов газов, газогидратов и грязевых вулканов. Это подтверждает высокие перспективы акватории. Следует заметить, что она в тектоническом плане относится не к "пассивной" окраине, а к зоне "коллизии" Африки и Европы, занимаемой Средиземным морем, - к южной окраине Атласско-Альпийской складчатой области.</w:t>
      </w:r>
    </w:p>
    <w:p w:rsidR="00EF6EB5" w:rsidRDefault="008E40CA">
      <w:pPr>
        <w:pStyle w:val="1"/>
        <w:rPr>
          <w:sz w:val="26"/>
        </w:rPr>
      </w:pPr>
      <w:r>
        <w:rPr>
          <w:sz w:val="26"/>
        </w:rPr>
        <w:t xml:space="preserve">Ливия - бесспорный лидер на африканском континенте по размерам подтвержденных запасов </w:t>
      </w:r>
      <w:r>
        <w:rPr>
          <w:color w:val="FF0000"/>
          <w:sz w:val="26"/>
        </w:rPr>
        <w:t>нефти</w:t>
      </w:r>
      <w:r>
        <w:rPr>
          <w:sz w:val="26"/>
        </w:rPr>
        <w:t xml:space="preserve"> (по данным из разных источников, они составляют от 3,1 до 4,1 млрд т). Доказанные запасы </w:t>
      </w:r>
      <w:r>
        <w:rPr>
          <w:color w:val="FF0000"/>
          <w:sz w:val="26"/>
        </w:rPr>
        <w:t>нефти</w:t>
      </w:r>
      <w:r>
        <w:rPr>
          <w:sz w:val="26"/>
        </w:rPr>
        <w:t xml:space="preserve"> в других странах </w:t>
      </w:r>
      <w:r>
        <w:rPr>
          <w:color w:val="FF0000"/>
          <w:sz w:val="26"/>
        </w:rPr>
        <w:t>Африки</w:t>
      </w:r>
      <w:r>
        <w:rPr>
          <w:sz w:val="26"/>
        </w:rPr>
        <w:t xml:space="preserve"> значительно меньше: в Египте они составляют 500 млн т, Алжире - 1,2 млрд т, Нигерии - 2,3 млрд т. Однако, по мировым стандартам, ливийские запасы нельзя назвать очень большими: они составляют всего 2,2-3,0% от доказанных запасов нефти во всем мире. Примерно таким же количеством нефти располагают Китай (2,3%) и США (2,9%).</w:t>
      </w:r>
    </w:p>
    <w:p w:rsidR="00EF6EB5" w:rsidRDefault="008E40CA">
      <w:pPr>
        <w:pStyle w:val="1"/>
        <w:rPr>
          <w:sz w:val="26"/>
        </w:rPr>
      </w:pPr>
      <w:r>
        <w:rPr>
          <w:sz w:val="26"/>
        </w:rPr>
        <w:t>По размерам запасов Ливия явно "не дотягивает" до таких признанных лидеров на нефтяной карте мира, как Саудовская Аравия (25,2%), Ирак (10,8%), ОАЭ (9,4%), Кувейт (9,3%), Иран (9,0%), Венесуэла (6,9%). Однако, во-первых, ливийские недра пока недостаточно исследованы, и размер запасов нефти может увеличиться по мере проведения разведочных работ, во-вторых, она обладает очень хорошим качеством (ее плотность достигает 35-41</w:t>
      </w:r>
      <w:r>
        <w:rPr>
          <w:sz w:val="26"/>
          <w:vertAlign w:val="superscript"/>
        </w:rPr>
        <w:t>0</w:t>
      </w:r>
      <w:r>
        <w:rPr>
          <w:sz w:val="26"/>
        </w:rPr>
        <w:t xml:space="preserve"> API) и, в-третьих, залегает на небольшой глубине, что немаловажно в условиях, когда нефтяные компании вынуждены экономить средства и искать возможности максимального снижения себестоимости добычи.</w:t>
      </w:r>
    </w:p>
    <w:p w:rsidR="00EF6EB5" w:rsidRDefault="008E40CA">
      <w:pPr>
        <w:pStyle w:val="1"/>
        <w:rPr>
          <w:sz w:val="26"/>
        </w:rPr>
      </w:pPr>
      <w:r>
        <w:rPr>
          <w:sz w:val="26"/>
        </w:rPr>
        <w:t>Ливийский нефтяной рынок практически полностью ориентирован на снабжение этим сырьем стран Европы, в частности - Италии, Германии, Испании, Франции, Великобритании, Бенилюкса и др., потребность которых в ливийской нефти оценивается в 1 млн баррелей в сутки, что составляет 77% нефтедобычи этой страны (на начало 1999 г. Ливия добывала 1,3 млн баррелей в сутки). Не в последнюю очередь такое положение объясняется запретом, наложенным правительством США на работу в Ливии американских нефтяных компаний, которые активно осваивали ливийский рынок до 1986 г.</w:t>
      </w:r>
    </w:p>
    <w:p w:rsidR="00EF6EB5" w:rsidRDefault="008E40CA">
      <w:pPr>
        <w:pStyle w:val="1"/>
        <w:rPr>
          <w:sz w:val="28"/>
        </w:rPr>
      </w:pPr>
      <w:r>
        <w:rPr>
          <w:sz w:val="26"/>
        </w:rPr>
        <w:t>Кроме того, Ливия активно стремится к доминированию на африканском рынке энергоносителей, предъявляя серьезные претензии на обеспечение большинства стран Африки углеводородным сырьем. Несмотря на то, что потребность в сырой нефти стран африканского континента вырастет не очень сильно (всего на 83 млн т к 2020 г.), сам факт ливийских претензий на лидерство в ее обеспечении заслуживает пристального внимания.</w:t>
      </w:r>
    </w:p>
    <w:p w:rsidR="00EF6EB5" w:rsidRDefault="00EF6EB5">
      <w:pPr>
        <w:pStyle w:val="1"/>
        <w:rPr>
          <w:sz w:val="28"/>
        </w:rPr>
      </w:pPr>
    </w:p>
    <w:p w:rsidR="00EF6EB5" w:rsidRDefault="008E40CA">
      <w:pPr>
        <w:pStyle w:val="1"/>
        <w:rPr>
          <w:b/>
          <w:i/>
          <w:sz w:val="28"/>
          <w:u w:val="single"/>
        </w:rPr>
      </w:pPr>
      <w:r>
        <w:rPr>
          <w:b/>
          <w:i/>
          <w:sz w:val="28"/>
          <w:u w:val="single"/>
        </w:rPr>
        <w:t>Заключенме</w:t>
      </w:r>
    </w:p>
    <w:p w:rsidR="00EF6EB5" w:rsidRDefault="008E40CA">
      <w:pPr>
        <w:pStyle w:val="1"/>
        <w:rPr>
          <w:sz w:val="26"/>
        </w:rPr>
      </w:pPr>
      <w:r>
        <w:rPr>
          <w:sz w:val="26"/>
        </w:rPr>
        <w:t xml:space="preserve">В поисках выхода из глубокого экономического кризиса, охватившего в начале 80-х годов большинство стран Африки, многие из них, следуя указаниям МВФ, пошли по пути структурной перестройки экономики, основными лозунгами которой были ослабление регулирующей роли государства, полная свобода рыночных отношений и ускоренная приватизация. «Шоковая терапия» по-африкански привела к еще большему росту социальной напряженности среди почти трехсотмиллионного населения и усилению финансово-экономической зависимости от ведущих западных стран-доноров. Закончив на этом общую экономическую характеристику, перейдем к не менее интересной проблеме коммерческих рисков, связанных с инвестированием капитала в данный регион. На Западе этому уделяют повышенное внимание. Существует ряд специальных рейтинговых агентств, которые ежегодно публикуют соответствующие оценочные данные. Обратимся к одному из таких изданий, выпускаемому американским Wall Street Journal совместно с Heritage Foundation под названием «Индексы экономической свободы» (Index of Economic Freedom). В нем анализируется внутренняя ситуация в более чем 160 странах мира с точки зрения привлекательности для прямых иностранных инвестиций. При этом оцениваются степень открытости внутренних рынков, участие государства в управлении экономикой, положение частного бизнеса, способность правоохранительных органов обеспечить внутреннюю стабильность и безопасность, уровень коррумпированности госаппарата, наличие основных демократических свобод, состояние банковской системы, размеры инфляции, потребность в зарубежных инвестициях и характер существующего налогового законодательства. </w:t>
      </w:r>
    </w:p>
    <w:p w:rsidR="00EF6EB5" w:rsidRDefault="008E40CA">
      <w:pPr>
        <w:pStyle w:val="1"/>
        <w:rPr>
          <w:sz w:val="26"/>
        </w:rPr>
      </w:pPr>
      <w:r>
        <w:rPr>
          <w:sz w:val="26"/>
        </w:rPr>
        <w:t>Каждый из этих показателей оценивается по пятибалльной шкале, причем чем ниже балл, тем более прогрессивным и привлекательным считается соответствующий рынок для вложения капиталов. В течение последних пяти лет первое место в мировом рейтинге со средним общим индексом 1,30 стабильно занимает Гонконг, а последнее - 161-е - КНДР (5,0). Государства Африки находятся в интервале от 61 (Бенин) до 156 (Заир) места. Пользуясь указанной методикой, можно попытаться оценить привлекательность («степень свободы») национальных экономик нефтедобывающих стран рассматриваемого региона (см. табл.).</w:t>
      </w:r>
    </w:p>
    <w:p w:rsidR="00EF6EB5" w:rsidRDefault="008E40CA">
      <w:pPr>
        <w:pStyle w:val="1"/>
        <w:rPr>
          <w:b/>
          <w:sz w:val="26"/>
        </w:rPr>
      </w:pPr>
      <w:r>
        <w:rPr>
          <w:b/>
          <w:sz w:val="26"/>
        </w:rPr>
        <w:t>Основные показатели:</w:t>
      </w:r>
    </w:p>
    <w:p w:rsidR="00EF6EB5" w:rsidRDefault="008E40CA">
      <w:pPr>
        <w:pStyle w:val="1"/>
        <w:numPr>
          <w:ilvl w:val="0"/>
          <w:numId w:val="6"/>
        </w:numPr>
        <w:rPr>
          <w:i/>
          <w:sz w:val="26"/>
        </w:rPr>
      </w:pPr>
      <w:r>
        <w:rPr>
          <w:i/>
          <w:sz w:val="26"/>
        </w:rPr>
        <w:t xml:space="preserve">открытость рынка (степень протекционизма во внешней торговле и коррупция в таможенной службе); </w:t>
      </w:r>
    </w:p>
    <w:p w:rsidR="00EF6EB5" w:rsidRDefault="008E40CA">
      <w:pPr>
        <w:pStyle w:val="1"/>
        <w:numPr>
          <w:ilvl w:val="0"/>
          <w:numId w:val="6"/>
        </w:numPr>
        <w:rPr>
          <w:i/>
          <w:sz w:val="26"/>
        </w:rPr>
      </w:pPr>
      <w:r>
        <w:rPr>
          <w:i/>
          <w:sz w:val="26"/>
        </w:rPr>
        <w:t xml:space="preserve"> налоговая политика (уровень налогообложения физических и юридических лиц); </w:t>
      </w:r>
    </w:p>
    <w:p w:rsidR="00EF6EB5" w:rsidRDefault="008E40CA">
      <w:pPr>
        <w:pStyle w:val="1"/>
        <w:numPr>
          <w:ilvl w:val="0"/>
          <w:numId w:val="6"/>
        </w:numPr>
        <w:rPr>
          <w:i/>
          <w:sz w:val="26"/>
        </w:rPr>
      </w:pPr>
      <w:r>
        <w:rPr>
          <w:i/>
          <w:sz w:val="26"/>
        </w:rPr>
        <w:t>степень государственного вмешательства в экономику (соотношение доли государственной и частной собственности в ВВП);</w:t>
      </w:r>
    </w:p>
    <w:p w:rsidR="00EF6EB5" w:rsidRDefault="008E40CA">
      <w:pPr>
        <w:pStyle w:val="1"/>
        <w:numPr>
          <w:ilvl w:val="0"/>
          <w:numId w:val="6"/>
        </w:numPr>
        <w:rPr>
          <w:i/>
          <w:sz w:val="26"/>
        </w:rPr>
      </w:pPr>
      <w:r>
        <w:rPr>
          <w:i/>
          <w:sz w:val="26"/>
        </w:rPr>
        <w:t xml:space="preserve">финансовая политика и уровень инфляции; </w:t>
      </w:r>
    </w:p>
    <w:p w:rsidR="00EF6EB5" w:rsidRDefault="008E40CA">
      <w:pPr>
        <w:pStyle w:val="1"/>
        <w:numPr>
          <w:ilvl w:val="0"/>
          <w:numId w:val="6"/>
        </w:numPr>
        <w:rPr>
          <w:i/>
          <w:sz w:val="26"/>
        </w:rPr>
      </w:pPr>
      <w:r>
        <w:rPr>
          <w:i/>
          <w:sz w:val="26"/>
        </w:rPr>
        <w:t xml:space="preserve">потребность в зарубежных инвестициях и наличие соответствующей законодательной защиты; </w:t>
      </w:r>
    </w:p>
    <w:p w:rsidR="00EF6EB5" w:rsidRDefault="008E40CA">
      <w:pPr>
        <w:pStyle w:val="1"/>
        <w:numPr>
          <w:ilvl w:val="0"/>
          <w:numId w:val="6"/>
        </w:numPr>
        <w:rPr>
          <w:i/>
          <w:sz w:val="26"/>
        </w:rPr>
      </w:pPr>
      <w:r>
        <w:rPr>
          <w:i/>
          <w:sz w:val="26"/>
        </w:rPr>
        <w:t xml:space="preserve">степень развития банковской системы и ее зависимость от государства; </w:t>
      </w:r>
    </w:p>
    <w:p w:rsidR="00EF6EB5" w:rsidRDefault="008E40CA">
      <w:pPr>
        <w:pStyle w:val="1"/>
        <w:numPr>
          <w:ilvl w:val="0"/>
          <w:numId w:val="6"/>
        </w:numPr>
        <w:rPr>
          <w:i/>
          <w:sz w:val="26"/>
        </w:rPr>
      </w:pPr>
      <w:r>
        <w:rPr>
          <w:i/>
          <w:sz w:val="26"/>
        </w:rPr>
        <w:t xml:space="preserve">социально-экономическая политика (дотационная политика, регулирование цен, поддержка малого и среднего бизнеса); </w:t>
      </w:r>
    </w:p>
    <w:p w:rsidR="00EF6EB5" w:rsidRDefault="008E40CA">
      <w:pPr>
        <w:pStyle w:val="1"/>
        <w:numPr>
          <w:ilvl w:val="0"/>
          <w:numId w:val="6"/>
        </w:numPr>
        <w:rPr>
          <w:i/>
          <w:sz w:val="26"/>
        </w:rPr>
      </w:pPr>
      <w:r>
        <w:rPr>
          <w:i/>
          <w:sz w:val="26"/>
        </w:rPr>
        <w:t xml:space="preserve">отношение к частной собственности; </w:t>
      </w:r>
    </w:p>
    <w:p w:rsidR="00EF6EB5" w:rsidRDefault="008E40CA">
      <w:pPr>
        <w:pStyle w:val="1"/>
        <w:numPr>
          <w:ilvl w:val="0"/>
          <w:numId w:val="6"/>
        </w:numPr>
        <w:rPr>
          <w:i/>
          <w:sz w:val="26"/>
        </w:rPr>
      </w:pPr>
      <w:r>
        <w:rPr>
          <w:i/>
          <w:sz w:val="26"/>
        </w:rPr>
        <w:t xml:space="preserve">внутриполитическая стабильность, наличие развитой законодательной базы и степень исполняемости законов; </w:t>
      </w:r>
    </w:p>
    <w:p w:rsidR="00EF6EB5" w:rsidRDefault="008E40CA">
      <w:pPr>
        <w:pStyle w:val="1"/>
        <w:numPr>
          <w:ilvl w:val="0"/>
          <w:numId w:val="6"/>
        </w:numPr>
        <w:rPr>
          <w:i/>
          <w:sz w:val="26"/>
        </w:rPr>
      </w:pPr>
      <w:r>
        <w:rPr>
          <w:i/>
          <w:sz w:val="26"/>
        </w:rPr>
        <w:t xml:space="preserve"> наличие «теневой экономики» («черного рынка» труда, товаров и услуг), соблюдение авторских прав и т.д.</w:t>
      </w:r>
    </w:p>
    <w:p w:rsidR="00EF6EB5" w:rsidRDefault="00EF6EB5">
      <w:pPr>
        <w:pStyle w:val="1"/>
        <w:rPr>
          <w:sz w:val="26"/>
        </w:rPr>
      </w:pPr>
    </w:p>
    <w:p w:rsidR="00EF6EB5" w:rsidRDefault="008E40CA">
      <w:pPr>
        <w:pStyle w:val="1"/>
        <w:rPr>
          <w:sz w:val="26"/>
        </w:rPr>
      </w:pPr>
      <w:r>
        <w:rPr>
          <w:sz w:val="26"/>
        </w:rPr>
        <w:t>Подводя итог краткому «деловому знакомству» с «черным континентом», хочется сказать следующее. Данный регион, безусловно, остается не самым привлекательным во многих (если не во всех) отношениях. Но он молод (с точки зрения индустриального развития) и перспективен. Сейчас энергетические ресурсы расположенных здесь стран «работают» в основном на экспорт - правительствам как воздух нужна валюта для решения острейших социальных проблем. Но, возможно, через некоторое время приутихнут конфликты, «задышит» экономика. Вот тогда и будут в полной мере востребованы местные энергоресурсы - теперь уже для динамично растущего внутреннего потребления. Именно тогда энергетические рынки западноафриканских стран и станут по-настоящему привлекательными.</w:t>
      </w: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EF6EB5">
      <w:pPr>
        <w:pStyle w:val="1"/>
        <w:rPr>
          <w:rFonts w:ascii="Arial" w:hAnsi="Arial"/>
          <w:sz w:val="28"/>
        </w:rPr>
      </w:pPr>
    </w:p>
    <w:p w:rsidR="00EF6EB5" w:rsidRDefault="008E40CA">
      <w:pPr>
        <w:pStyle w:val="1"/>
        <w:jc w:val="center"/>
        <w:rPr>
          <w:rFonts w:ascii="Arial CYR" w:hAnsi="Arial CYR"/>
          <w:sz w:val="32"/>
        </w:rPr>
      </w:pPr>
      <w:r>
        <w:rPr>
          <w:rFonts w:ascii="Arial CYR" w:hAnsi="Arial CYR"/>
          <w:sz w:val="32"/>
        </w:rPr>
        <w:t>Список литературы</w:t>
      </w:r>
    </w:p>
    <w:p w:rsidR="00EF6EB5" w:rsidRDefault="00EF6EB5">
      <w:pPr>
        <w:pStyle w:val="1"/>
        <w:jc w:val="center"/>
        <w:rPr>
          <w:rFonts w:ascii="Arial CYR" w:hAnsi="Arial CYR"/>
          <w:sz w:val="32"/>
        </w:rPr>
      </w:pPr>
    </w:p>
    <w:p w:rsidR="00EF6EB5" w:rsidRDefault="008E40CA">
      <w:pPr>
        <w:pStyle w:val="1"/>
        <w:numPr>
          <w:ilvl w:val="0"/>
          <w:numId w:val="8"/>
        </w:numPr>
        <w:rPr>
          <w:sz w:val="26"/>
        </w:rPr>
      </w:pPr>
      <w:r>
        <w:rPr>
          <w:sz w:val="26"/>
          <w:u w:val="single"/>
        </w:rPr>
        <w:t>http://press.lukoil.ru/text.phtml?result_artic=524&amp;result=70</w:t>
      </w:r>
    </w:p>
    <w:p w:rsidR="00EF6EB5" w:rsidRDefault="008E40CA">
      <w:pPr>
        <w:pStyle w:val="1"/>
        <w:rPr>
          <w:sz w:val="26"/>
        </w:rPr>
      </w:pPr>
      <w:r>
        <w:rPr>
          <w:sz w:val="26"/>
        </w:rPr>
        <w:t xml:space="preserve">     Нефть и газ «черного» континента. Андрей ФЕДОТОВ</w:t>
      </w:r>
    </w:p>
    <w:p w:rsidR="00EF6EB5" w:rsidRDefault="009A5AD7">
      <w:pPr>
        <w:numPr>
          <w:ilvl w:val="0"/>
          <w:numId w:val="8"/>
        </w:numPr>
        <w:rPr>
          <w:sz w:val="26"/>
        </w:rPr>
      </w:pPr>
      <w:hyperlink r:id="rId7" w:history="1">
        <w:r w:rsidR="008E40CA">
          <w:rPr>
            <w:rStyle w:val="a3"/>
            <w:color w:val="auto"/>
            <w:sz w:val="26"/>
          </w:rPr>
          <w:t>http://press.lukoil.ru/text.phtml?result_artic=390&amp;result=65</w:t>
        </w:r>
      </w:hyperlink>
    </w:p>
    <w:p w:rsidR="00EF6EB5" w:rsidRDefault="008E40CA">
      <w:pPr>
        <w:pStyle w:val="1"/>
        <w:rPr>
          <w:sz w:val="26"/>
        </w:rPr>
      </w:pPr>
      <w:r>
        <w:rPr>
          <w:sz w:val="26"/>
        </w:rPr>
        <w:t xml:space="preserve">      Кому подвластен Мировой океан?</w:t>
      </w:r>
    </w:p>
    <w:p w:rsidR="00EF6EB5" w:rsidRDefault="008E40CA">
      <w:pPr>
        <w:numPr>
          <w:ilvl w:val="0"/>
          <w:numId w:val="8"/>
        </w:numPr>
        <w:rPr>
          <w:sz w:val="26"/>
        </w:rPr>
      </w:pPr>
      <w:r>
        <w:rPr>
          <w:sz w:val="26"/>
          <w:u w:val="single"/>
        </w:rPr>
        <w:t>http://press.lukoil.ru/text.phtml?result_artic=141&amp;result=54</w:t>
      </w:r>
    </w:p>
    <w:p w:rsidR="00EF6EB5" w:rsidRDefault="008E40CA">
      <w:pPr>
        <w:pStyle w:val="1"/>
        <w:rPr>
          <w:sz w:val="26"/>
        </w:rPr>
      </w:pPr>
      <w:r>
        <w:rPr>
          <w:sz w:val="26"/>
        </w:rPr>
        <w:t xml:space="preserve">      Ливия начинает и выигрывает. Ольга СЕРГЕЕВА </w:t>
      </w:r>
    </w:p>
    <w:p w:rsidR="00EF6EB5" w:rsidRDefault="008E40CA">
      <w:pPr>
        <w:pStyle w:val="1"/>
        <w:numPr>
          <w:ilvl w:val="0"/>
          <w:numId w:val="8"/>
        </w:numPr>
        <w:rPr>
          <w:sz w:val="26"/>
        </w:rPr>
      </w:pPr>
      <w:r>
        <w:rPr>
          <w:sz w:val="26"/>
        </w:rPr>
        <w:t xml:space="preserve">4. </w:t>
      </w:r>
      <w:hyperlink r:id="rId8" w:history="1">
        <w:r>
          <w:rPr>
            <w:rStyle w:val="a3"/>
            <w:color w:val="auto"/>
          </w:rPr>
          <w:t>http://www.polpred.com/afrika/kamerun/04.html</w:t>
        </w:r>
      </w:hyperlink>
      <w:r>
        <w:rPr>
          <w:sz w:val="26"/>
          <w:u w:val="single"/>
        </w:rPr>
        <w:t xml:space="preserve"> (</w:t>
      </w:r>
      <w:r>
        <w:rPr>
          <w:sz w:val="26"/>
        </w:rPr>
        <w:t>Камерун)</w:t>
      </w:r>
      <w:bookmarkStart w:id="0" w:name="_GoBack"/>
      <w:bookmarkEnd w:id="0"/>
    </w:p>
    <w:sectPr w:rsidR="00EF6EB5">
      <w:headerReference w:type="even" r:id="rId9"/>
      <w:headerReference w:type="default" r:id="rId10"/>
      <w:pgSz w:w="11906" w:h="16838"/>
      <w:pgMar w:top="1418" w:right="1191" w:bottom="1134" w:left="1701" w:header="1440" w:footer="144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EB5" w:rsidRDefault="008E40CA">
      <w:r>
        <w:separator/>
      </w:r>
    </w:p>
  </w:endnote>
  <w:endnote w:type="continuationSeparator" w:id="0">
    <w:p w:rsidR="00EF6EB5" w:rsidRDefault="008E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EB5" w:rsidRDefault="008E40CA">
      <w:r>
        <w:separator/>
      </w:r>
    </w:p>
  </w:footnote>
  <w:footnote w:type="continuationSeparator" w:id="0">
    <w:p w:rsidR="00EF6EB5" w:rsidRDefault="008E4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EB5" w:rsidRDefault="008E40C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EF6EB5" w:rsidRDefault="00EF6EB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EB5" w:rsidRDefault="008E40C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EF6EB5" w:rsidRDefault="00EF6EB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17956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44F23DE0"/>
    <w:multiLevelType w:val="singleLevel"/>
    <w:tmpl w:val="F3CC9866"/>
    <w:lvl w:ilvl="0">
      <w:numFmt w:val="bullet"/>
      <w:lvlText w:val="–"/>
      <w:lvlJc w:val="left"/>
      <w:pPr>
        <w:tabs>
          <w:tab w:val="num" w:pos="360"/>
        </w:tabs>
        <w:ind w:left="360" w:hanging="360"/>
      </w:pPr>
      <w:rPr>
        <w:rFonts w:hint="default"/>
      </w:rPr>
    </w:lvl>
  </w:abstractNum>
  <w:abstractNum w:abstractNumId="3">
    <w:nsid w:val="4C3B25DD"/>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54F86D8F"/>
    <w:multiLevelType w:val="singleLevel"/>
    <w:tmpl w:val="0419000F"/>
    <w:lvl w:ilvl="0">
      <w:start w:val="1"/>
      <w:numFmt w:val="decimal"/>
      <w:lvlText w:val="%1."/>
      <w:lvlJc w:val="left"/>
      <w:pPr>
        <w:tabs>
          <w:tab w:val="num" w:pos="360"/>
        </w:tabs>
        <w:ind w:left="360" w:hanging="360"/>
      </w:pPr>
    </w:lvl>
  </w:abstractNum>
  <w:abstractNum w:abstractNumId="5">
    <w:nsid w:val="7426268F"/>
    <w:multiLevelType w:val="singleLevel"/>
    <w:tmpl w:val="04190013"/>
    <w:lvl w:ilvl="0">
      <w:start w:val="1"/>
      <w:numFmt w:val="upperRoman"/>
      <w:lvlText w:val="%1."/>
      <w:lvlJc w:val="left"/>
      <w:pPr>
        <w:tabs>
          <w:tab w:val="num" w:pos="720"/>
        </w:tabs>
        <w:ind w:left="720" w:hanging="720"/>
      </w:pPr>
    </w:lvl>
  </w:abstractNum>
  <w:abstractNum w:abstractNumId="6">
    <w:nsid w:val="77C812FB"/>
    <w:multiLevelType w:val="singleLevel"/>
    <w:tmpl w:val="0419000F"/>
    <w:lvl w:ilvl="0">
      <w:start w:val="1"/>
      <w:numFmt w:val="decimal"/>
      <w:lvlText w:val="%1."/>
      <w:lvlJc w:val="left"/>
      <w:pPr>
        <w:tabs>
          <w:tab w:val="num" w:pos="360"/>
        </w:tabs>
        <w:ind w:left="360" w:hanging="360"/>
      </w:pPr>
    </w:lvl>
  </w:abstractNum>
  <w:abstractNum w:abstractNumId="7">
    <w:nsid w:val="7E6C3E0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360"/>
        <w:lvlJc w:val="left"/>
        <w:pPr>
          <w:ind w:left="720" w:hanging="360"/>
        </w:pPr>
        <w:rPr>
          <w:rFonts w:ascii="Wingdings" w:hAnsi="Wingdings" w:hint="default"/>
        </w:rPr>
      </w:lvl>
    </w:lvlOverride>
  </w:num>
  <w:num w:numId="2">
    <w:abstractNumId w:val="0"/>
    <w:lvlOverride w:ilvl="0">
      <w:lvl w:ilvl="0">
        <w:numFmt w:val="bullet"/>
        <w:lvlText w:val=""/>
        <w:legacy w:legacy="1" w:legacySpace="0" w:legacyIndent="360"/>
        <w:lvlJc w:val="left"/>
        <w:pPr>
          <w:ind w:left="720" w:hanging="360"/>
        </w:pPr>
        <w:rPr>
          <w:rFonts w:ascii="Wingdings" w:hAnsi="Wingdings" w:hint="default"/>
        </w:rPr>
      </w:lvl>
    </w:lvlOverride>
  </w:num>
  <w:num w:numId="3">
    <w:abstractNumId w:val="1"/>
  </w:num>
  <w:num w:numId="4">
    <w:abstractNumId w:val="2"/>
  </w:num>
  <w:num w:numId="5">
    <w:abstractNumId w:val="7"/>
  </w:num>
  <w:num w:numId="6">
    <w:abstractNumId w:val="5"/>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0CA"/>
    <w:rsid w:val="008E40CA"/>
    <w:rsid w:val="009A5AD7"/>
    <w:rsid w:val="00EF6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2B3CDF-DF01-403D-AB7C-BA13D2FE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customStyle="1" w:styleId="1">
    <w:name w:val="Обычный1"/>
    <w:pPr>
      <w:spacing w:before="100" w:after="100"/>
    </w:pPr>
    <w:rPr>
      <w:snapToGrid w:val="0"/>
      <w:sz w:val="24"/>
    </w:rPr>
  </w:style>
  <w:style w:type="character" w:customStyle="1" w:styleId="HTMLMarkup">
    <w:name w:val="HTML Markup"/>
    <w:rPr>
      <w:vanish/>
      <w:color w:val="FF0000"/>
    </w:rPr>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pred.com/afrika/kamerun/04.html" TargetMode="External"/><Relationship Id="rId3" Type="http://schemas.openxmlformats.org/officeDocument/2006/relationships/settings" Target="settings.xml"/><Relationship Id="rId7" Type="http://schemas.openxmlformats.org/officeDocument/2006/relationships/hyperlink" Target="http://press.lukoil.ru/text.phtml?result_artic=390&amp;result=6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3126</Words>
  <Characters>17823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http://press</vt:lpstr>
    </vt:vector>
  </TitlesOfParts>
  <Company> </Company>
  <LinksUpToDate>false</LinksUpToDate>
  <CharactersWithSpaces>20908</CharactersWithSpaces>
  <SharedDoc>false</SharedDoc>
  <HLinks>
    <vt:vector size="12" baseType="variant">
      <vt:variant>
        <vt:i4>1507418</vt:i4>
      </vt:variant>
      <vt:variant>
        <vt:i4>3</vt:i4>
      </vt:variant>
      <vt:variant>
        <vt:i4>0</vt:i4>
      </vt:variant>
      <vt:variant>
        <vt:i4>5</vt:i4>
      </vt:variant>
      <vt:variant>
        <vt:lpwstr>http://www.polpred.com/afrika/kamerun/04.html</vt:lpwstr>
      </vt:variant>
      <vt:variant>
        <vt:lpwstr/>
      </vt:variant>
      <vt:variant>
        <vt:i4>1310765</vt:i4>
      </vt:variant>
      <vt:variant>
        <vt:i4>0</vt:i4>
      </vt:variant>
      <vt:variant>
        <vt:i4>0</vt:i4>
      </vt:variant>
      <vt:variant>
        <vt:i4>5</vt:i4>
      </vt:variant>
      <vt:variant>
        <vt:lpwstr>http://press.lukoil.ru/text.phtml?result_artic=390&amp;result=65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http://press</dc:title>
  <dc:subject/>
  <dc:creator>Saltykova A.A.</dc:creator>
  <cp:keywords/>
  <cp:lastModifiedBy>admin</cp:lastModifiedBy>
  <cp:revision>2</cp:revision>
  <dcterms:created xsi:type="dcterms:W3CDTF">2014-02-03T09:41:00Z</dcterms:created>
  <dcterms:modified xsi:type="dcterms:W3CDTF">2014-02-03T09:41:00Z</dcterms:modified>
</cp:coreProperties>
</file>