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DA" w:rsidRPr="00464BBC" w:rsidRDefault="001150DA" w:rsidP="001150DA">
      <w:pPr>
        <w:spacing w:before="120"/>
        <w:jc w:val="center"/>
        <w:rPr>
          <w:b/>
          <w:bCs/>
          <w:sz w:val="32"/>
          <w:szCs w:val="32"/>
        </w:rPr>
      </w:pPr>
      <w:r w:rsidRPr="00464BBC">
        <w:rPr>
          <w:b/>
          <w:bCs/>
          <w:sz w:val="32"/>
          <w:szCs w:val="32"/>
        </w:rPr>
        <w:t>Взаимодействие хлорида неодима (III) с метагерманатом калия в этаноле</w:t>
      </w:r>
    </w:p>
    <w:p w:rsidR="001150DA" w:rsidRPr="00464BBC" w:rsidRDefault="001150DA" w:rsidP="001150DA">
      <w:pPr>
        <w:spacing w:before="120"/>
        <w:ind w:firstLine="567"/>
        <w:jc w:val="both"/>
        <w:rPr>
          <w:sz w:val="28"/>
          <w:szCs w:val="28"/>
        </w:rPr>
      </w:pPr>
      <w:r w:rsidRPr="00464BBC">
        <w:rPr>
          <w:sz w:val="28"/>
          <w:szCs w:val="28"/>
        </w:rPr>
        <w:t>В.В.Девяткин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Германаты неодима типа Nd2 GeO5 и Nd 2Ge 2 O 7 получают по обычной керамической технологии или гидротермальным способом [1]. В последние годы получил развитие синтез указанных соединений в мягких условиях, с использованием в качестве растворителей водных и органических сред. Синтез осуществляется препаративными методами [2,3], не позволяющими наиболее полно изучить условия получения германатов определённого состава.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С целью изучения условий синтеза германатов неодима в неводных растворителях исследовано взаимодействие между компонентами системы NdCl3 – K2GeO3 – C2H5OH методом остаточных концентраций при 250С. В качестве исходных веществ использованы хлорид неодима “х.ч.” и синтезированный из GeO2 “ч.д.а.” и KOH по методике [4] метагерманат калия. При составлении смесей были взяты раствор NdCl3 в этаноле с концентрацией 3,9120 . 10-2 моль/л и раствор K2 GeО3 в этаноле с концентрацией 6,6152 . 10-2 моль/л. В реакционные сосуды вводился рассчитанный объём раствора K2 GeO3 и к нему добавлялся возрастающий объём раствора NdCl3 так, что отношение n(NdCl3) / n(K2GeО3 ) ( n) изменялось от 0,09 до 2,45. Растворы разбавлялись до 50 мл и перемешивались в течение 14 суток до установления равновесия. Жидкие и твёрдые фазы отделялись и анализировались на содержание ионов неодима (III) титрованием трилоном Б с ксиленоловым оранжевым в присутствии уротропинового буфера [5]. Cодержание ионов германия (IV) определялось гравиметрическим осаждением германомолибдата 8-оксихинолина [6,7]. Показатели активности ионов водорода p(aH+) регистрировались на pH-метре pH-150. Электропроводность (k) равновесных насыщенных растворов измерялась с помощью реохордного моста P-38.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Результаты и их обсуждение. Ранее проведённые исследования [8] показали возможность использования неводных сред для получения растворов хлорида неодима (III) определённой концентрации, зависящей от физико-химических характеристик растворителя и растворяемого вещества. Проведённый нами анализ растворимости K2 GeО3 в C2H5OH при 250 С показал значение 22,84 масс. %, соответственно растворимость NdCl3 в С2Н5ОН составила 0,74 масс. %. Безводный хлорид неодима, как и любой сильный электролит, в данном случае имеет небольшую растворимость, которая увеличивается в зависимости от содержания в растворе воды. Малая энергия активации и небольшая сила кислоты-катиона Nd3+ в сравнении с К+ обусловливают меньшую растворимость NdCl3 в C2H5OH, в отличие от K2 GeO3 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Использование протолитических растворителей (C2H5OH, ЭТГ, глицерин) способствует более сильной сольватации анионов GeO32– и Cl–, увеличению энергии связи с молекулами растворителя, в отличие от апротонных (ДМФА). Поэтому в воде или спиртах реакции образования германатов протекают в тысячи раз медленнее, чем в ДМФА [9], хотя растворимость исходных компонентов в первом случае больше [10].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Проведённые исследования взаимодействий в системе NdCl3 – K2GeO3 – C2H5OH представлены в табл.1 и на рис.1. По мере увеличения отношения компонентов ( n) в исходных растворах от 0,09 до 2,45 остаточные концентрации германат-ионов уменьшаются от 3,55 . 10-4 до 0,12 . 10-4 моль/л. В интервале n &lt; 1,61 ионы неодима (III) в равновесной жидкой фазе отсутствуют, так как полностью реагируют с германат-ионами (точки 1-10). Количества вступивших во взаимодействие компонентов указывают, что в щелочной среде (p(aH+) = 14,30 – 13,99) в интервале 0,26&lt;n&lt;0,59 простого соосаждения ионов не происходит, образуются равновесные твёрдые фазы постоянного состава. Соотношение неодима (III) и германия (IV) в твёрдой фазе равно 1 (точки 2-4). В интервале 1,78 &lt; n &lt; 2,28 реакция cреды кислая ( p(aH+) = 4,78-3,79), неодим также связывается в строгой стехиометрии с германат-ионами, в результате чего образуются твёрдые фазы с отношением указанных компонентов, равным 2 (точки 11-14). Полученные данные подтверждаются изменениями значений p(aH+) и электропроводности (k) растворов. В интервале 0,76 &lt; n &lt; 1,61 образуются твёрдые фазы переменного состава с избыточным содержанием неодима.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Полученные твёрдые фазы представляют собой мелкокристаллические вещества, интенсивность окраски которых изменяется от белого (сосуд № 1) до светло-фиолетового цвета (сосуд № 15) и зависит от соотношения исходных компонентов в растворе. Твёрдые фазы были отведены от жидких фаз, промыты спиртом и эфиром до отрицательного аналитического сигнала на ионы K+ (тетрафенилборат) и Сl– (нитрат серебра) [11]. Анализ спиртовой вытяжки с соотношением n &gt; 2,28 показывает присутствие несвязанных ионов Nd3+, что свидетельcтвует о частичном соосаждении неодима (III) в указанном интервале. Анализ промытых и высушенных при 2500С твёрдых фаз указывает, что в интервале n&lt;1,44 сохраняется отношение компонентов, равное 1. В интервале n &gt; 1,78 соотношение равно 2. После прокаливания (5000С) промытых мелкодисперсных фаз и их химического анализа установлено, что состав твёрдых фаз соответствует соединениям Nd2 Ge 2O7 и Nd2GeO5 , представляющим собой мелкокристаллические вещества, не растворимые в воде.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>Таблица 1</w:t>
      </w:r>
    </w:p>
    <w:p w:rsidR="001150DA" w:rsidRDefault="001150DA" w:rsidP="001150DA">
      <w:pPr>
        <w:spacing w:before="120"/>
        <w:ind w:firstLine="567"/>
        <w:jc w:val="both"/>
      </w:pPr>
      <w:r w:rsidRPr="0083028C">
        <w:t>Результаты исследования системы NdCl3 – K2GeO3 – C2 H5OH</w:t>
      </w:r>
      <w:r>
        <w:t xml:space="preserve"> </w:t>
      </w:r>
    </w:p>
    <w:tbl>
      <w:tblPr>
        <w:tblW w:w="5000" w:type="pct"/>
        <w:tblCellSpacing w:w="15" w:type="dxa"/>
        <w:tblInd w:w="-1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5"/>
        <w:gridCol w:w="915"/>
        <w:gridCol w:w="1362"/>
        <w:gridCol w:w="886"/>
        <w:gridCol w:w="898"/>
        <w:gridCol w:w="921"/>
        <w:gridCol w:w="932"/>
        <w:gridCol w:w="1362"/>
        <w:gridCol w:w="987"/>
        <w:gridCol w:w="834"/>
      </w:tblGrid>
      <w:tr w:rsidR="001150DA" w:rsidRPr="0083028C" w:rsidTr="00C87877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№</w:t>
            </w:r>
          </w:p>
          <w:p w:rsidR="001150DA" w:rsidRPr="0083028C" w:rsidRDefault="001150DA" w:rsidP="00C87877">
            <w:pPr>
              <w:jc w:val="both"/>
            </w:pPr>
            <w:r w:rsidRPr="0083028C">
              <w:t>п/п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Взято Nd3+</w:t>
            </w:r>
          </w:p>
          <w:p w:rsidR="001150DA" w:rsidRPr="0083028C" w:rsidRDefault="001150DA" w:rsidP="00C87877">
            <w:pPr>
              <w:jc w:val="both"/>
            </w:pPr>
            <w:r w:rsidRPr="0083028C">
              <w:t>моль . 104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Отношение</w:t>
            </w:r>
          </w:p>
          <w:p w:rsidR="001150DA" w:rsidRPr="0083028C" w:rsidRDefault="001150DA" w:rsidP="00C87877">
            <w:pPr>
              <w:jc w:val="both"/>
            </w:pPr>
            <w:r w:rsidRPr="0083028C">
              <w:t>n (Nd3+) / n (Ge4+)</w:t>
            </w:r>
          </w:p>
          <w:p w:rsidR="001150DA" w:rsidRPr="0083028C" w:rsidRDefault="001150DA" w:rsidP="00C87877">
            <w:pPr>
              <w:jc w:val="both"/>
            </w:pPr>
            <w:r w:rsidRPr="0083028C">
              <w:t>в исх. р-ре</w:t>
            </w:r>
          </w:p>
        </w:tc>
        <w:tc>
          <w:tcPr>
            <w:tcW w:w="9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Найдено в жидкой фазе моль . 104</w:t>
            </w:r>
            <w:r>
              <w:t xml:space="preserve"> </w:t>
            </w:r>
          </w:p>
        </w:tc>
        <w:tc>
          <w:tcPr>
            <w:tcW w:w="9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Прореагировало</w:t>
            </w:r>
          </w:p>
          <w:p w:rsidR="001150DA" w:rsidRPr="0083028C" w:rsidRDefault="001150DA" w:rsidP="00C87877">
            <w:pPr>
              <w:jc w:val="both"/>
            </w:pPr>
            <w:r w:rsidRPr="0083028C">
              <w:t>моль . 104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Отношение</w:t>
            </w:r>
          </w:p>
          <w:p w:rsidR="001150DA" w:rsidRPr="0083028C" w:rsidRDefault="001150DA" w:rsidP="00C87877">
            <w:pPr>
              <w:jc w:val="both"/>
            </w:pPr>
            <w:r w:rsidRPr="0083028C">
              <w:t>n (Nd3+) / n (Ge4+)</w:t>
            </w:r>
          </w:p>
          <w:p w:rsidR="001150DA" w:rsidRPr="0083028C" w:rsidRDefault="001150DA" w:rsidP="00C87877">
            <w:pPr>
              <w:jc w:val="both"/>
            </w:pPr>
            <w:r w:rsidRPr="0083028C">
              <w:t>в твёрдой фазе</w:t>
            </w:r>
          </w:p>
        </w:tc>
        <w:tc>
          <w:tcPr>
            <w:tcW w:w="9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Свойства жидкой фазы</w:t>
            </w:r>
          </w:p>
        </w:tc>
      </w:tr>
      <w:tr w:rsidR="001150DA" w:rsidRPr="0083028C" w:rsidTr="00C87877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>
              <w:t xml:space="preserve"> 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>
              <w:t xml:space="preserve"> 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Nd3+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Ge4+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Nd3+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Ge4+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>
              <w:t xml:space="preserve"> 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p(аН+)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k . 103 Ом-1 . см-1</w:t>
            </w:r>
          </w:p>
        </w:tc>
      </w:tr>
      <w:tr w:rsidR="001150DA" w:rsidRPr="0083028C" w:rsidTr="00C87877">
        <w:trPr>
          <w:tblCellSpacing w:w="15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1.</w:t>
            </w:r>
          </w:p>
          <w:p w:rsidR="001150DA" w:rsidRPr="0083028C" w:rsidRDefault="001150DA" w:rsidP="00C87877">
            <w:pPr>
              <w:jc w:val="both"/>
            </w:pPr>
            <w:r w:rsidRPr="0083028C">
              <w:t>2.</w:t>
            </w:r>
          </w:p>
          <w:p w:rsidR="001150DA" w:rsidRPr="0083028C" w:rsidRDefault="001150DA" w:rsidP="00C87877">
            <w:pPr>
              <w:jc w:val="both"/>
            </w:pPr>
            <w:r w:rsidRPr="0083028C">
              <w:t>3.</w:t>
            </w:r>
          </w:p>
          <w:p w:rsidR="001150DA" w:rsidRPr="0083028C" w:rsidRDefault="001150DA" w:rsidP="00C87877">
            <w:pPr>
              <w:jc w:val="both"/>
            </w:pPr>
            <w:r w:rsidRPr="0083028C">
              <w:t>4.</w:t>
            </w:r>
          </w:p>
          <w:p w:rsidR="001150DA" w:rsidRPr="0083028C" w:rsidRDefault="001150DA" w:rsidP="00C87877">
            <w:pPr>
              <w:jc w:val="both"/>
            </w:pPr>
            <w:r w:rsidRPr="0083028C">
              <w:t>5.</w:t>
            </w:r>
          </w:p>
          <w:p w:rsidR="001150DA" w:rsidRPr="0083028C" w:rsidRDefault="001150DA" w:rsidP="00C87877">
            <w:pPr>
              <w:jc w:val="both"/>
            </w:pPr>
            <w:r w:rsidRPr="0083028C">
              <w:t>6.</w:t>
            </w:r>
          </w:p>
          <w:p w:rsidR="001150DA" w:rsidRPr="0083028C" w:rsidRDefault="001150DA" w:rsidP="00C87877">
            <w:pPr>
              <w:jc w:val="both"/>
            </w:pPr>
            <w:r w:rsidRPr="0083028C">
              <w:t>7.</w:t>
            </w:r>
          </w:p>
          <w:p w:rsidR="001150DA" w:rsidRPr="0083028C" w:rsidRDefault="001150DA" w:rsidP="00C87877">
            <w:pPr>
              <w:jc w:val="both"/>
            </w:pPr>
            <w:r w:rsidRPr="0083028C">
              <w:t>8.</w:t>
            </w:r>
          </w:p>
          <w:p w:rsidR="001150DA" w:rsidRPr="0083028C" w:rsidRDefault="001150DA" w:rsidP="00C87877">
            <w:pPr>
              <w:jc w:val="both"/>
            </w:pPr>
            <w:r w:rsidRPr="0083028C">
              <w:t>9.</w:t>
            </w:r>
          </w:p>
          <w:p w:rsidR="001150DA" w:rsidRPr="0083028C" w:rsidRDefault="001150DA" w:rsidP="00C87877">
            <w:pPr>
              <w:jc w:val="both"/>
            </w:pPr>
            <w:r w:rsidRPr="0083028C">
              <w:t>10.</w:t>
            </w:r>
          </w:p>
          <w:p w:rsidR="001150DA" w:rsidRPr="0083028C" w:rsidRDefault="001150DA" w:rsidP="00C87877">
            <w:pPr>
              <w:jc w:val="both"/>
            </w:pPr>
            <w:r w:rsidRPr="0083028C">
              <w:t>11.</w:t>
            </w:r>
          </w:p>
          <w:p w:rsidR="001150DA" w:rsidRPr="0083028C" w:rsidRDefault="001150DA" w:rsidP="00C87877">
            <w:pPr>
              <w:jc w:val="both"/>
            </w:pPr>
            <w:r w:rsidRPr="0083028C">
              <w:t>12.</w:t>
            </w:r>
          </w:p>
          <w:p w:rsidR="001150DA" w:rsidRPr="0083028C" w:rsidRDefault="001150DA" w:rsidP="00C87877">
            <w:pPr>
              <w:jc w:val="both"/>
            </w:pPr>
            <w:r w:rsidRPr="0083028C">
              <w:t>13.</w:t>
            </w:r>
          </w:p>
          <w:p w:rsidR="001150DA" w:rsidRPr="0083028C" w:rsidRDefault="001150DA" w:rsidP="00C87877">
            <w:pPr>
              <w:jc w:val="both"/>
            </w:pPr>
            <w:r w:rsidRPr="0083028C">
              <w:t>14.</w:t>
            </w:r>
          </w:p>
          <w:p w:rsidR="001150DA" w:rsidRPr="0083028C" w:rsidRDefault="001150DA" w:rsidP="00C87877">
            <w:pPr>
              <w:jc w:val="both"/>
            </w:pPr>
            <w:r w:rsidRPr="0083028C">
              <w:t>15.</w:t>
            </w:r>
          </w:p>
        </w:tc>
        <w:tc>
          <w:tcPr>
            <w:tcW w:w="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0,39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1,18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1,96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2,74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3,52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4,3</w:t>
            </w:r>
          </w:p>
          <w:p w:rsidR="001150DA" w:rsidRPr="0083028C" w:rsidRDefault="001150DA" w:rsidP="00C87877">
            <w:pPr>
              <w:jc w:val="both"/>
            </w:pPr>
            <w:r w:rsidRPr="0083028C">
              <w:t>5,09</w:t>
            </w:r>
          </w:p>
          <w:p w:rsidR="001150DA" w:rsidRPr="0083028C" w:rsidRDefault="001150DA" w:rsidP="00C87877">
            <w:pPr>
              <w:jc w:val="both"/>
            </w:pPr>
            <w:r w:rsidRPr="0083028C">
              <w:t>5,87</w:t>
            </w:r>
          </w:p>
          <w:p w:rsidR="001150DA" w:rsidRPr="0083028C" w:rsidRDefault="001150DA" w:rsidP="00C87877">
            <w:pPr>
              <w:jc w:val="both"/>
            </w:pPr>
            <w:r w:rsidRPr="0083028C">
              <w:t>6,65</w:t>
            </w:r>
          </w:p>
          <w:p w:rsidR="001150DA" w:rsidRPr="0083028C" w:rsidRDefault="001150DA" w:rsidP="00C87877">
            <w:pPr>
              <w:jc w:val="both"/>
            </w:pPr>
            <w:r w:rsidRPr="0083028C">
              <w:t>7,43</w:t>
            </w:r>
          </w:p>
          <w:p w:rsidR="001150DA" w:rsidRPr="0083028C" w:rsidRDefault="001150DA" w:rsidP="00C87877">
            <w:pPr>
              <w:jc w:val="both"/>
            </w:pPr>
            <w:r w:rsidRPr="0083028C">
              <w:t>8,22</w:t>
            </w:r>
          </w:p>
          <w:p w:rsidR="001150DA" w:rsidRPr="0083028C" w:rsidRDefault="001150DA" w:rsidP="00C87877">
            <w:pPr>
              <w:jc w:val="both"/>
            </w:pPr>
            <w:r w:rsidRPr="0083028C">
              <w:t>9,00</w:t>
            </w:r>
          </w:p>
          <w:p w:rsidR="001150DA" w:rsidRPr="0083028C" w:rsidRDefault="001150DA" w:rsidP="00C87877">
            <w:pPr>
              <w:jc w:val="both"/>
            </w:pPr>
            <w:r w:rsidRPr="0083028C">
              <w:t>9,78</w:t>
            </w:r>
          </w:p>
          <w:p w:rsidR="001150DA" w:rsidRPr="0083028C" w:rsidRDefault="001150DA" w:rsidP="00C87877">
            <w:pPr>
              <w:jc w:val="both"/>
            </w:pPr>
            <w:r w:rsidRPr="0083028C">
              <w:t>10,56</w:t>
            </w:r>
          </w:p>
          <w:p w:rsidR="001150DA" w:rsidRPr="0083028C" w:rsidRDefault="001150DA" w:rsidP="00C87877">
            <w:pPr>
              <w:jc w:val="both"/>
            </w:pPr>
            <w:r w:rsidRPr="0083028C">
              <w:t>11,35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0,09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0,26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0,42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0,59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0,76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0,92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1,1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1,27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1,44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1,61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1,78</w:t>
            </w:r>
            <w:r>
              <w:t xml:space="preserve"> 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1,95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2,11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2,28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—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0,49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0,58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0,71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0,79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0,93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3,55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3,45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2,67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2,06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1,77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1,45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1,22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1,05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0,81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0,71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0,6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0,42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0,33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0,18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0,39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1,18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1,96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2,74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3,52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4,3</w:t>
            </w:r>
          </w:p>
          <w:p w:rsidR="001150DA" w:rsidRPr="0083028C" w:rsidRDefault="001150DA" w:rsidP="00C87877">
            <w:pPr>
              <w:jc w:val="both"/>
            </w:pPr>
            <w:r w:rsidRPr="0083028C">
              <w:t>5,09</w:t>
            </w:r>
          </w:p>
          <w:p w:rsidR="001150DA" w:rsidRPr="0083028C" w:rsidRDefault="001150DA" w:rsidP="00C87877">
            <w:pPr>
              <w:jc w:val="both"/>
            </w:pPr>
            <w:r w:rsidRPr="0083028C">
              <w:t>5,87</w:t>
            </w:r>
          </w:p>
          <w:p w:rsidR="001150DA" w:rsidRPr="0083028C" w:rsidRDefault="001150DA" w:rsidP="00C87877">
            <w:pPr>
              <w:jc w:val="both"/>
            </w:pPr>
            <w:r w:rsidRPr="0083028C">
              <w:t>6,65</w:t>
            </w:r>
          </w:p>
          <w:p w:rsidR="001150DA" w:rsidRPr="0083028C" w:rsidRDefault="001150DA" w:rsidP="00C87877">
            <w:pPr>
              <w:jc w:val="both"/>
            </w:pPr>
            <w:r w:rsidRPr="0083028C">
              <w:t>7,43</w:t>
            </w:r>
          </w:p>
          <w:p w:rsidR="001150DA" w:rsidRPr="0083028C" w:rsidRDefault="001150DA" w:rsidP="00C87877">
            <w:pPr>
              <w:jc w:val="both"/>
            </w:pPr>
            <w:r w:rsidRPr="0083028C">
              <w:t>7,73</w:t>
            </w:r>
          </w:p>
          <w:p w:rsidR="001150DA" w:rsidRPr="0083028C" w:rsidRDefault="001150DA" w:rsidP="00C87877">
            <w:pPr>
              <w:jc w:val="both"/>
            </w:pPr>
            <w:r w:rsidRPr="0083028C">
              <w:t>8,42</w:t>
            </w:r>
          </w:p>
          <w:p w:rsidR="001150DA" w:rsidRPr="0083028C" w:rsidRDefault="001150DA" w:rsidP="00C87877">
            <w:pPr>
              <w:jc w:val="both"/>
            </w:pPr>
            <w:r w:rsidRPr="0083028C">
              <w:t>9,07</w:t>
            </w:r>
          </w:p>
          <w:p w:rsidR="001150DA" w:rsidRPr="0083028C" w:rsidRDefault="001150DA" w:rsidP="00C87877">
            <w:pPr>
              <w:jc w:val="both"/>
            </w:pPr>
            <w:r w:rsidRPr="0083028C">
              <w:t>9,77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10,42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1,08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1,18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1,96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2,57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2,86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3,18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3,41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3,58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3,79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3,92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4,03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4,21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4,3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4,45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4,51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0,36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1,00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1,00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1,07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1,23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1,35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1,49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1,64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1,76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1,90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1,92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2,00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2,11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2,20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2,31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14,34</w:t>
            </w:r>
          </w:p>
          <w:p w:rsidR="001150DA" w:rsidRPr="0083028C" w:rsidRDefault="001150DA" w:rsidP="00C87877">
            <w:pPr>
              <w:jc w:val="both"/>
            </w:pPr>
            <w:r w:rsidRPr="0083028C">
              <w:t>14,30</w:t>
            </w:r>
          </w:p>
          <w:p w:rsidR="001150DA" w:rsidRPr="0083028C" w:rsidRDefault="001150DA" w:rsidP="00C87877">
            <w:pPr>
              <w:jc w:val="both"/>
            </w:pPr>
            <w:r w:rsidRPr="0083028C">
              <w:t>14,17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13,99</w:t>
            </w:r>
          </w:p>
          <w:p w:rsidR="001150DA" w:rsidRPr="0083028C" w:rsidRDefault="001150DA" w:rsidP="00C87877">
            <w:pPr>
              <w:jc w:val="both"/>
            </w:pPr>
            <w:r w:rsidRPr="0083028C">
              <w:t>13,86</w:t>
            </w:r>
          </w:p>
          <w:p w:rsidR="001150DA" w:rsidRPr="0083028C" w:rsidRDefault="001150DA" w:rsidP="00C87877">
            <w:pPr>
              <w:jc w:val="both"/>
            </w:pPr>
            <w:r w:rsidRPr="0083028C">
              <w:t>13,59</w:t>
            </w:r>
          </w:p>
          <w:p w:rsidR="001150DA" w:rsidRPr="0083028C" w:rsidRDefault="001150DA" w:rsidP="00C87877">
            <w:pPr>
              <w:jc w:val="both"/>
            </w:pPr>
            <w:r w:rsidRPr="0083028C">
              <w:t>13,47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11,23</w:t>
            </w:r>
          </w:p>
          <w:p w:rsidR="001150DA" w:rsidRPr="0083028C" w:rsidRDefault="001150DA" w:rsidP="00C87877">
            <w:pPr>
              <w:jc w:val="both"/>
            </w:pPr>
            <w:r w:rsidRPr="0083028C">
              <w:t>8,97</w:t>
            </w:r>
          </w:p>
          <w:p w:rsidR="001150DA" w:rsidRPr="0083028C" w:rsidRDefault="001150DA" w:rsidP="00C87877">
            <w:pPr>
              <w:jc w:val="both"/>
            </w:pPr>
            <w:r w:rsidRPr="0083028C">
              <w:t>6,04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4,78</w:t>
            </w:r>
          </w:p>
          <w:p w:rsidR="001150DA" w:rsidRPr="0083028C" w:rsidRDefault="001150DA" w:rsidP="00C87877">
            <w:pPr>
              <w:jc w:val="both"/>
            </w:pPr>
            <w:r w:rsidRPr="0083028C">
              <w:t>4,11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3,98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3,89</w:t>
            </w:r>
          </w:p>
          <w:p w:rsidR="001150DA" w:rsidRPr="0083028C" w:rsidRDefault="001150DA" w:rsidP="00C87877">
            <w:pPr>
              <w:jc w:val="both"/>
            </w:pPr>
            <w:r w:rsidRPr="0083028C">
              <w:t>3,79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jc w:val="both"/>
            </w:pPr>
            <w:r w:rsidRPr="0083028C">
              <w:t>2,57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2,29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2,05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1,70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1,14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0,83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0,60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0,50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0,47</w:t>
            </w:r>
          </w:p>
          <w:p w:rsidR="001150DA" w:rsidRPr="0083028C" w:rsidRDefault="001150DA" w:rsidP="00C87877">
            <w:pPr>
              <w:jc w:val="both"/>
            </w:pPr>
            <w:r w:rsidRPr="0083028C">
              <w:t>0,53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1,43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1,87</w:t>
            </w:r>
          </w:p>
          <w:p w:rsidR="001150DA" w:rsidRPr="0083028C" w:rsidRDefault="001150DA" w:rsidP="00C87877">
            <w:pPr>
              <w:jc w:val="both"/>
            </w:pPr>
            <w:r w:rsidRPr="0083028C">
              <w:t>1,98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2,01</w:t>
            </w:r>
          </w:p>
          <w:p w:rsidR="001150DA" w:rsidRPr="0083028C" w:rsidRDefault="001150DA" w:rsidP="00C87877">
            <w:pPr>
              <w:jc w:val="both"/>
            </w:pPr>
            <w:r w:rsidRPr="0083028C">
              <w:t>2,10</w:t>
            </w:r>
          </w:p>
        </w:tc>
      </w:tr>
    </w:tbl>
    <w:p w:rsidR="001150DA" w:rsidRDefault="001150DA" w:rsidP="001150DA">
      <w:pPr>
        <w:spacing w:before="120"/>
        <w:ind w:firstLine="567"/>
        <w:jc w:val="both"/>
      </w:pPr>
      <w:r w:rsidRPr="0083028C">
        <w:t xml:space="preserve">Взято n (K2GeO3 ) = 4,6306 . 10-4 моль. Объём каждой смеси 50 мл. </w:t>
      </w:r>
      <w:r>
        <w:t xml:space="preserve">   </w:t>
      </w:r>
    </w:p>
    <w:p w:rsidR="001150DA" w:rsidRPr="0083028C" w:rsidRDefault="001150DA" w:rsidP="001150DA">
      <w:pPr>
        <w:spacing w:before="120"/>
        <w:ind w:firstLine="567"/>
        <w:jc w:val="both"/>
      </w:pPr>
    </w:p>
    <w:tbl>
      <w:tblPr>
        <w:tblW w:w="4740" w:type="dxa"/>
        <w:tblCellSpacing w:w="1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1"/>
        <w:gridCol w:w="1914"/>
        <w:gridCol w:w="1288"/>
        <w:gridCol w:w="1303"/>
      </w:tblGrid>
      <w:tr w:rsidR="001150DA" w:rsidRPr="0083028C" w:rsidTr="00C87877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№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Nd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Ge</w:t>
            </w:r>
          </w:p>
        </w:tc>
      </w:tr>
      <w:tr w:rsidR="001150DA" w:rsidRPr="0083028C" w:rsidTr="00C87877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1.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Найдено, % 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52,83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26,55</w:t>
            </w:r>
          </w:p>
        </w:tc>
      </w:tr>
      <w:tr w:rsidR="001150DA" w:rsidRPr="0083028C" w:rsidTr="00C87877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 xml:space="preserve">Вычислено для </w:t>
            </w:r>
          </w:p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Nd2Ge2O7, % 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52,87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26,61</w:t>
            </w:r>
          </w:p>
        </w:tc>
      </w:tr>
      <w:tr w:rsidR="001150DA" w:rsidRPr="0083028C" w:rsidTr="00C87877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2.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Найдено, % 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65,36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16,42</w:t>
            </w:r>
          </w:p>
        </w:tc>
      </w:tr>
      <w:tr w:rsidR="001150DA" w:rsidRPr="0083028C" w:rsidTr="00C87877">
        <w:trPr>
          <w:tblCellSpacing w:w="15" w:type="dxa"/>
        </w:trPr>
        <w:tc>
          <w:tcPr>
            <w:tcW w:w="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>
              <w:t xml:space="preserve">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 xml:space="preserve">Вычислено для </w:t>
            </w:r>
          </w:p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Nd2 GeO5, % :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65,41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50DA" w:rsidRPr="0083028C" w:rsidRDefault="001150DA" w:rsidP="00C87877">
            <w:pPr>
              <w:spacing w:before="120"/>
              <w:ind w:firstLine="567"/>
              <w:jc w:val="both"/>
            </w:pPr>
            <w:r w:rsidRPr="0083028C">
              <w:t>16,46</w:t>
            </w:r>
          </w:p>
        </w:tc>
      </w:tr>
    </w:tbl>
    <w:p w:rsidR="001150DA" w:rsidRPr="0083028C" w:rsidRDefault="001150DA" w:rsidP="001150DA">
      <w:pPr>
        <w:spacing w:before="120"/>
        <w:ind w:firstLine="567"/>
        <w:jc w:val="both"/>
      </w:pPr>
      <w:r>
        <w:t xml:space="preserve"> </w:t>
      </w:r>
    </w:p>
    <w:p w:rsidR="001150DA" w:rsidRPr="0083028C" w:rsidRDefault="00832CC6" w:rsidP="001150D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5.5pt;height:282.75pt">
            <v:imagedata r:id="rId4" o:title=""/>
          </v:shape>
        </w:pic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>Отношение n (Nd3+) / n (Ge4+) в исходном растворе</w:t>
      </w:r>
    </w:p>
    <w:p w:rsidR="001150DA" w:rsidRDefault="001150DA" w:rsidP="001150DA">
      <w:pPr>
        <w:spacing w:before="120"/>
        <w:ind w:firstLine="567"/>
        <w:jc w:val="both"/>
      </w:pPr>
      <w:r w:rsidRPr="0083028C">
        <w:t xml:space="preserve">Рис.1. Кривые остаточных концентраций ионов Nd3+ (1), Ge4+(2), электропроводность (3) и раН+ (4) жидких фаз. </w:t>
      </w:r>
      <w:r>
        <w:t xml:space="preserve"> </w:t>
      </w:r>
    </w:p>
    <w:p w:rsidR="001150DA" w:rsidRPr="00464BBC" w:rsidRDefault="001150DA" w:rsidP="001150DA">
      <w:pPr>
        <w:spacing w:before="120"/>
        <w:jc w:val="center"/>
        <w:rPr>
          <w:b/>
          <w:bCs/>
          <w:sz w:val="28"/>
          <w:szCs w:val="28"/>
        </w:rPr>
      </w:pPr>
      <w:r w:rsidRPr="00464BBC">
        <w:rPr>
          <w:b/>
          <w:bCs/>
          <w:sz w:val="28"/>
          <w:szCs w:val="28"/>
        </w:rPr>
        <w:t>Список литературы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Тананаев И.В., Шпирт М.Я. Химия германия. М.: Химия, 1967. С.146.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Тананаев И.В., Шпирт М.Я., Сендульская Т.И. // Докл. АН СССР. 1961. Т.139. С.907. </w:t>
      </w:r>
    </w:p>
    <w:p w:rsidR="001150DA" w:rsidRPr="001150DA" w:rsidRDefault="001150DA" w:rsidP="001150DA">
      <w:pPr>
        <w:spacing w:before="120"/>
        <w:ind w:firstLine="567"/>
        <w:jc w:val="both"/>
        <w:rPr>
          <w:lang w:val="en-US"/>
        </w:rPr>
      </w:pPr>
      <w:r w:rsidRPr="0083028C">
        <w:t>Зворыкин А.Я., Перельман Ф.М., Бабиевская И.З. // Журн.неорган.химии. 1960. Т</w:t>
      </w:r>
      <w:r w:rsidRPr="001150DA">
        <w:rPr>
          <w:lang w:val="en-US"/>
        </w:rPr>
        <w:t xml:space="preserve">.5. </w:t>
      </w:r>
      <w:r w:rsidRPr="0083028C">
        <w:t>С</w:t>
      </w:r>
      <w:r w:rsidRPr="001150DA">
        <w:rPr>
          <w:lang w:val="en-US"/>
        </w:rPr>
        <w:t xml:space="preserve">.1717.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1150DA">
        <w:rPr>
          <w:lang w:val="en-US"/>
        </w:rPr>
        <w:t xml:space="preserve">Schwarz R., Heinrich F.// Z.anorg. algem. Chem. 1932. </w:t>
      </w:r>
      <w:r w:rsidRPr="0083028C">
        <w:t xml:space="preserve">B.43. S.205.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Шварценбах Г., Флашка Г. Комплексонометрическое титрирование. М.: Химия, 1970. С.249.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Назаренко В.А. Аналитическая химия германия. М.: Наука, 1973. С.103.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Алимарин И.П., Алексеева О.А. // Журн. прикл. химии. 1940. Т.13. С.1393.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Рунов Н.Н., Исаева Л.В. // Физико-химические исследования равновесий в растворах. Ярославль: ЯГПИ, 1983. Вып.202. С.26.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Фиалков Ю.Я. Растворитель как средство управления химическим процессом. Сер. “Химия”. М.: Знание, 1988. Вып.6. 48 с. </w:t>
      </w:r>
    </w:p>
    <w:p w:rsidR="001150DA" w:rsidRPr="0083028C" w:rsidRDefault="001150DA" w:rsidP="001150DA">
      <w:pPr>
        <w:spacing w:before="120"/>
        <w:ind w:firstLine="567"/>
        <w:jc w:val="both"/>
      </w:pPr>
      <w:r w:rsidRPr="0083028C">
        <w:t xml:space="preserve">Химия редких и рассеянных элементов / Под ред. Большакова К.А. М.: Высшая школа, 1969. Т.1. С.176. </w:t>
      </w:r>
    </w:p>
    <w:p w:rsidR="001150DA" w:rsidRDefault="001150DA" w:rsidP="001150DA">
      <w:pPr>
        <w:spacing w:before="120"/>
        <w:ind w:firstLine="567"/>
        <w:jc w:val="both"/>
      </w:pPr>
      <w:r w:rsidRPr="0083028C">
        <w:t xml:space="preserve">Резников А.А., Муликовская Е.П., Соколов И.Ю. Методы анализа природных вод. М.: Недра, 1970. 488 с. 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0DA"/>
    <w:rsid w:val="001150DA"/>
    <w:rsid w:val="00464BBC"/>
    <w:rsid w:val="00616072"/>
    <w:rsid w:val="006A5004"/>
    <w:rsid w:val="0083028C"/>
    <w:rsid w:val="00832CC6"/>
    <w:rsid w:val="008B35EE"/>
    <w:rsid w:val="008C41F6"/>
    <w:rsid w:val="00B42C45"/>
    <w:rsid w:val="00B47B6A"/>
    <w:rsid w:val="00C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40B34AD-2866-48E0-B257-EDF4055C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15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1118</Words>
  <Characters>6377</Characters>
  <Application>Microsoft Office Word</Application>
  <DocSecurity>0</DocSecurity>
  <Lines>53</Lines>
  <Paragraphs>14</Paragraphs>
  <ScaleCrop>false</ScaleCrop>
  <Company>Home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хлорида неодима (III) с метагерманатом калия в этаноле</dc:title>
  <dc:subject/>
  <dc:creator>User</dc:creator>
  <cp:keywords/>
  <dc:description/>
  <cp:lastModifiedBy>admin</cp:lastModifiedBy>
  <cp:revision>2</cp:revision>
  <dcterms:created xsi:type="dcterms:W3CDTF">2014-02-19T14:38:00Z</dcterms:created>
  <dcterms:modified xsi:type="dcterms:W3CDTF">2014-02-19T14:38:00Z</dcterms:modified>
</cp:coreProperties>
</file>