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88" w:rsidRP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28273C">
        <w:rPr>
          <w:rFonts w:ascii="Times New Roman" w:hAnsi="Times New Roman"/>
          <w:sz w:val="28"/>
          <w:szCs w:val="24"/>
        </w:rPr>
        <w:t>Федеральное образовательное учреждение</w:t>
      </w:r>
    </w:p>
    <w:p w:rsidR="003C5588" w:rsidRP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28273C">
        <w:rPr>
          <w:rFonts w:ascii="Times New Roman" w:hAnsi="Times New Roman"/>
          <w:sz w:val="28"/>
          <w:szCs w:val="24"/>
        </w:rPr>
        <w:t>Среднего профессионального образования</w:t>
      </w:r>
    </w:p>
    <w:p w:rsidR="003C5588" w:rsidRP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28273C">
        <w:rPr>
          <w:rFonts w:ascii="Times New Roman" w:hAnsi="Times New Roman"/>
          <w:sz w:val="28"/>
          <w:szCs w:val="24"/>
        </w:rPr>
        <w:t>Всеволожский сельскохозяйственный колледж</w:t>
      </w:r>
    </w:p>
    <w:p w:rsidR="003C5588" w:rsidRP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28273C">
        <w:rPr>
          <w:rFonts w:ascii="Times New Roman" w:hAnsi="Times New Roman"/>
          <w:sz w:val="28"/>
          <w:szCs w:val="24"/>
        </w:rPr>
        <w:t>Заочное отделение</w:t>
      </w: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  <w:lang w:val="de-DE"/>
        </w:rPr>
      </w:pP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  <w:lang w:val="de-DE"/>
        </w:rPr>
      </w:pPr>
    </w:p>
    <w:p w:rsidR="003C5588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8273C" w:rsidRP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C5588" w:rsidRPr="0028273C" w:rsidRDefault="003C5588" w:rsidP="00F814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4"/>
        </w:rPr>
      </w:pPr>
      <w:r w:rsidRPr="0028273C">
        <w:rPr>
          <w:rFonts w:ascii="Times New Roman" w:hAnsi="Times New Roman"/>
          <w:bCs/>
          <w:sz w:val="28"/>
          <w:szCs w:val="24"/>
        </w:rPr>
        <w:t>К</w:t>
      </w:r>
      <w:r w:rsidR="0028273C" w:rsidRPr="0028273C">
        <w:rPr>
          <w:rFonts w:ascii="Times New Roman" w:hAnsi="Times New Roman"/>
          <w:bCs/>
          <w:sz w:val="28"/>
          <w:szCs w:val="24"/>
        </w:rPr>
        <w:t xml:space="preserve">онтрольная работа </w:t>
      </w:r>
      <w:r w:rsidRPr="0028273C">
        <w:rPr>
          <w:rFonts w:ascii="Times New Roman" w:hAnsi="Times New Roman"/>
          <w:bCs/>
          <w:sz w:val="28"/>
          <w:szCs w:val="24"/>
        </w:rPr>
        <w:t>№1</w:t>
      </w:r>
    </w:p>
    <w:p w:rsidR="003C5588" w:rsidRPr="0028273C" w:rsidRDefault="003C5588" w:rsidP="00F814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  <w:lang w:val="de-DE"/>
        </w:rPr>
      </w:pPr>
      <w:r w:rsidRPr="0028273C">
        <w:rPr>
          <w:rFonts w:ascii="Times New Roman" w:hAnsi="Times New Roman"/>
          <w:sz w:val="28"/>
          <w:szCs w:val="28"/>
        </w:rPr>
        <w:t>по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дисциплине</w:t>
      </w:r>
      <w:r w:rsid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Финансы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</w:t>
      </w:r>
    </w:p>
    <w:p w:rsidR="00F814F0" w:rsidRPr="00F814F0" w:rsidRDefault="00F814F0" w:rsidP="00F814F0">
      <w:pPr>
        <w:pStyle w:val="1"/>
        <w:tabs>
          <w:tab w:val="left" w:pos="2977"/>
          <w:tab w:val="left" w:pos="3544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4F0">
        <w:rPr>
          <w:rFonts w:ascii="Times New Roman" w:hAnsi="Times New Roman"/>
          <w:b/>
          <w:sz w:val="28"/>
          <w:szCs w:val="28"/>
        </w:rPr>
        <w:t>Вопросы использования оборотных средств</w:t>
      </w: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  <w:lang w:val="de-DE"/>
        </w:rPr>
      </w:pP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  <w:lang w:val="de-DE"/>
        </w:rPr>
      </w:pP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F814F0" w:rsidRPr="00972616" w:rsidRDefault="00F814F0" w:rsidP="00F814F0">
      <w:pPr>
        <w:pStyle w:val="1"/>
        <w:tabs>
          <w:tab w:val="left" w:pos="2977"/>
          <w:tab w:val="left" w:pos="3544"/>
        </w:tabs>
        <w:spacing w:line="360" w:lineRule="auto"/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972616">
        <w:rPr>
          <w:rFonts w:ascii="Times New Roman" w:hAnsi="Times New Roman"/>
          <w:b/>
          <w:color w:val="FFFFFF"/>
          <w:sz w:val="28"/>
          <w:szCs w:val="28"/>
        </w:rPr>
        <w:t>финансовый оборотный инвестирование страховой</w:t>
      </w: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3C5588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3C5588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28273C" w:rsidRPr="0028273C" w:rsidRDefault="0028273C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32"/>
        </w:rPr>
      </w:pPr>
    </w:p>
    <w:p w:rsidR="0028273C" w:rsidRPr="0028273C" w:rsidRDefault="003C5588" w:rsidP="002827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32"/>
        </w:rPr>
      </w:pPr>
      <w:r w:rsidRPr="0028273C">
        <w:rPr>
          <w:rFonts w:ascii="Times New Roman" w:hAnsi="Times New Roman"/>
          <w:bCs/>
          <w:sz w:val="28"/>
          <w:szCs w:val="32"/>
        </w:rPr>
        <w:t>В</w:t>
      </w:r>
      <w:r w:rsidR="0028273C" w:rsidRPr="0028273C">
        <w:rPr>
          <w:rFonts w:ascii="Times New Roman" w:hAnsi="Times New Roman"/>
          <w:bCs/>
          <w:sz w:val="28"/>
          <w:szCs w:val="32"/>
        </w:rPr>
        <w:t xml:space="preserve">севоложск </w:t>
      </w:r>
      <w:r w:rsidRPr="0028273C">
        <w:rPr>
          <w:rFonts w:ascii="Times New Roman" w:hAnsi="Times New Roman"/>
          <w:bCs/>
          <w:sz w:val="28"/>
          <w:szCs w:val="32"/>
        </w:rPr>
        <w:t>2011</w:t>
      </w:r>
    </w:p>
    <w:p w:rsidR="0028273C" w:rsidRDefault="0028273C">
      <w:pPr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</w:p>
    <w:p w:rsidR="0028273C" w:rsidRPr="0028273C" w:rsidRDefault="0028273C" w:rsidP="0028273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28273C">
        <w:rPr>
          <w:rFonts w:ascii="Times New Roman" w:hAnsi="Times New Roman"/>
          <w:b/>
          <w:sz w:val="28"/>
        </w:rPr>
        <w:t>Содержание</w:t>
      </w:r>
    </w:p>
    <w:p w:rsidR="0028273C" w:rsidRPr="0028273C" w:rsidRDefault="0028273C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8273C" w:rsidRPr="0028273C" w:rsidRDefault="0028273C" w:rsidP="0028273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28273C">
        <w:rPr>
          <w:rFonts w:ascii="Times New Roman" w:hAnsi="Times New Roman"/>
          <w:sz w:val="28"/>
        </w:rPr>
        <w:t xml:space="preserve">Финансовый аспект формирование и </w:t>
      </w:r>
      <w:r>
        <w:rPr>
          <w:rFonts w:ascii="Times New Roman" w:hAnsi="Times New Roman"/>
          <w:sz w:val="28"/>
        </w:rPr>
        <w:t>использование оборотных средств</w:t>
      </w:r>
    </w:p>
    <w:p w:rsidR="0028273C" w:rsidRPr="0028273C" w:rsidRDefault="0028273C" w:rsidP="0028273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2.Задача №9</w:t>
      </w:r>
    </w:p>
    <w:p w:rsidR="0028273C" w:rsidRPr="0028273C" w:rsidRDefault="0028273C" w:rsidP="0028273C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28273C">
        <w:rPr>
          <w:rFonts w:ascii="Times New Roman" w:hAnsi="Times New Roman"/>
          <w:sz w:val="28"/>
        </w:rPr>
        <w:t>3.Тестовые задания. Вариант 8</w:t>
      </w:r>
    </w:p>
    <w:p w:rsidR="003C5588" w:rsidRPr="0028273C" w:rsidRDefault="0028273C" w:rsidP="0028273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</w:t>
      </w:r>
    </w:p>
    <w:p w:rsidR="003C5588" w:rsidRPr="0028273C" w:rsidRDefault="003C5588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C5588" w:rsidRPr="0028273C" w:rsidRDefault="003C5588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8273C" w:rsidRDefault="0028273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C5588" w:rsidRPr="0028273C" w:rsidRDefault="0028273C" w:rsidP="0028273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3C5588" w:rsidRPr="0028273C">
        <w:rPr>
          <w:rFonts w:ascii="Times New Roman" w:hAnsi="Times New Roman"/>
          <w:b/>
          <w:sz w:val="28"/>
          <w:szCs w:val="28"/>
        </w:rPr>
        <w:t>Финансовый</w:t>
      </w:r>
      <w:r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="003C5588" w:rsidRPr="0028273C">
        <w:rPr>
          <w:rFonts w:ascii="Times New Roman" w:hAnsi="Times New Roman"/>
          <w:b/>
          <w:sz w:val="28"/>
          <w:szCs w:val="28"/>
        </w:rPr>
        <w:t>аспект</w:t>
      </w:r>
      <w:r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="003C5588" w:rsidRPr="0028273C">
        <w:rPr>
          <w:rFonts w:ascii="Times New Roman" w:hAnsi="Times New Roman"/>
          <w:b/>
          <w:sz w:val="28"/>
          <w:szCs w:val="28"/>
        </w:rPr>
        <w:t>формирование</w:t>
      </w:r>
      <w:r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="003C5588" w:rsidRPr="0028273C">
        <w:rPr>
          <w:rFonts w:ascii="Times New Roman" w:hAnsi="Times New Roman"/>
          <w:b/>
          <w:sz w:val="28"/>
          <w:szCs w:val="28"/>
        </w:rPr>
        <w:t>и</w:t>
      </w:r>
      <w:r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="003C5588" w:rsidRPr="0028273C">
        <w:rPr>
          <w:rFonts w:ascii="Times New Roman" w:hAnsi="Times New Roman"/>
          <w:b/>
          <w:sz w:val="28"/>
          <w:szCs w:val="28"/>
        </w:rPr>
        <w:t>использование</w:t>
      </w:r>
      <w:r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="003C5588" w:rsidRPr="0028273C">
        <w:rPr>
          <w:rFonts w:ascii="Times New Roman" w:hAnsi="Times New Roman"/>
          <w:b/>
          <w:sz w:val="28"/>
          <w:szCs w:val="28"/>
        </w:rPr>
        <w:t>оборотных</w:t>
      </w:r>
      <w:r w:rsidRPr="002827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средств</w:t>
      </w:r>
    </w:p>
    <w:p w:rsidR="0028273C" w:rsidRDefault="0028273C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</w:p>
    <w:p w:rsidR="0028273C" w:rsidRDefault="003C5588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3C1C6B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отличие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основных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инвестируются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обращения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предприятий.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Это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денежные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ресурсы,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которые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обеспечивают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весь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жизненный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цикл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заготовки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сырья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выпуска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реализации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готовых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изделий.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можно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предс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тавить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виде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следующей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схемы: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-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ПЗ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—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НЗП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—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ГП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—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Д.</w:t>
      </w:r>
      <w:r w:rsidR="00F814F0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Денежные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ресурсы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(Д)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расчетного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счета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используются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приобретение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сырья,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материалов,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запчастей,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малоценных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быстроизнашивающихся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предметов,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топлива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создание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складских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запасов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размерах,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обеспечивающих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поддержание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ритм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ичного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выпуска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(ПЗ).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складов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материальные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ценности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поступают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производство,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где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стоимости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прибавляются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амортизационные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отчисления,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зарплата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начислениями,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расходы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ремонт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основных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фондов,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некоторые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налоги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другие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затраты,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включаемые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себестоимость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е.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формируется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стоимость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незавершенного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водства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(НЗП).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После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завершения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процесса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изделия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установленном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порядке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принимаются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склад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готовой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где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находятся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запасе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мере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комплектования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оформления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партий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ля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поставки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потребителям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(ГП).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После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оплаты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готовой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покупателями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цикл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кругооборота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заканчивается,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чтобы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продолжи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ться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последующих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циклах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(Д).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Таким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образом,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находятся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постоянном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каждый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данный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момент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одновременно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воплощаются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фондах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(производственные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запасы,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незавершенное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производство),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фондах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обращения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(готовая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родукция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денежные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средства).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Чем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быстрее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оборачиваются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тем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больший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эффект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они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приносят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своему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владельцу.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Для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измерения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этого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эффекта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сопоставляют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сумму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полученным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исполь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зования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результатом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формуле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=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: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где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—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количество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оборотов,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совершенных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оборотными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средствами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данный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период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(год,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квартал,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месяц);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—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объем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реализации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тот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же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период;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—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средняя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сумма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Для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анализа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чаще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используется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производный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показатель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оборачиваемости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отражающий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длительность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одного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днях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(Т).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Для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его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исчисления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количество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дней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анализируемом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периоде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(Д)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елится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число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(К):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=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Д:К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или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же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испо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льзуется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формула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=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(Д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О)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: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Приведенные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формулы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показывают,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что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эффективность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использования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тем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выше,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чем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больший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объем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реализации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достигается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наименьшей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сумме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авансированных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изводство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финансовых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ресурсов.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Чтобы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определить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минимальную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потребность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средствах,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осуществляют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нормирование.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этом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учитывают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все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факторы,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влияющие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размеры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создаваемых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запасов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товарно-материальных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ценностей,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периодичность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поставок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сырья,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вспомогательных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материалов,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топлива,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длительность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производственного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цикла,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быстроту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отгрузки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готовой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склада,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велич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ину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затрат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ее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производство.</w:t>
      </w:r>
    </w:p>
    <w:p w:rsidR="0028273C" w:rsidRDefault="003C5588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большинстве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экономически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развитых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государств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применяются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научно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разработанные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системы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организации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которые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сориентированы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минимальные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складские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запасы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товарно-материальных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ценностей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или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вообще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работу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«с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колес»,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максимальную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сопряженность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работе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цехов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участков,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обеспечивающую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минимальные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заделы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незавершенного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всех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переходах,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глубокие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маркетинговые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проработки,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гарантирующие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быстрый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сбыт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готовой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Благодаря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минимизации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заделов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всех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стадиях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кругооборота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Япония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добивается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снижения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себестоимости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сравнению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аналогами,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производимыми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США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других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ст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ранах-конкурентах,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20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%.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Источниками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формирования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являются: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собственные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ресурсы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предприятия,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зафиксированные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его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уставном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фонде,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прибыль,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кредиторская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олженность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заемные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составе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кредиторской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задолженности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имеются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которые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приравнивают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использованию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собственным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средствам,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так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как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они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постоянно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неснижающихся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размерах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находятся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хозяйственном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обороте.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Речь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идет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таких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устойчивых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пассивах,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как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постоянная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минимальная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задолженность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работникам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заработной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плате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другим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выплатам,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обусловленная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периодичностью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выплат,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задолженность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социальной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защиты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фонду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занятости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отчислениям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некоторые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другие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стабильные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виды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кредиторской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задолженности.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28273C" w:rsidRDefault="003C5588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Планирование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учет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устойчивых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пассивов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позволяют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предприятиям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сокращать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авансирование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собственных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финансовых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ресурсов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используя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других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целях.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Заемные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необходимы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предприятиям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тогда,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когда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они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вынуждены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создавать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сезонные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запасы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товарно-материальных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ценностей,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превышающие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минимальную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потребность,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или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когда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рыночная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конъюнктура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благоприятствует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резкому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увеличению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Мировая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практика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доказала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эффективность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сочетания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собственных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заемных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ресурсов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обеспечении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производственной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деятельности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фирм.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Однако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этом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должны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облюдаться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разумные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пропорции.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Инфляционные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процессы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кризисной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экономике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Республики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Беларусь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привели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такому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обесцениванию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предприятий,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когда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стало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абсолютно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недостаточно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для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обеспечения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реализации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продукции.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3C5588" w:rsidRPr="0028273C" w:rsidRDefault="003C5588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Вынужденное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постоянное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привлечение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кредитов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под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большие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проценты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лишь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усугубило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«проедание»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собственного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капитала,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привело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грани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банкротства.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Коэффициент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покрытия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краткосрочных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долгов,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отражающий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соотношение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собственных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краткосрочной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задолженности,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большинстве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государственных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предприятий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упал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ниже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единицы.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Наращивание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собственного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оборотного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капитала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является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первоочередной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задачей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многих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фирм.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Ее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решению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должно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способствовать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разгосударствление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имущества,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создание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акционерных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обществ,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позволяющее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привлекать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развитие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производства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средства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реализации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акций</w:t>
      </w:r>
      <w:r w:rsidR="00596EE6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.</w:t>
      </w:r>
    </w:p>
    <w:p w:rsidR="0028273C" w:rsidRDefault="0028273C">
      <w:pPr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/>
          <w:i w:val="0"/>
          <w:color w:val="auto"/>
          <w:sz w:val="28"/>
          <w:szCs w:val="28"/>
        </w:rPr>
        <w:br w:type="page"/>
      </w:r>
    </w:p>
    <w:p w:rsidR="00596EE6" w:rsidRPr="0028273C" w:rsidRDefault="00596EE6" w:rsidP="0028273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8273C">
        <w:rPr>
          <w:rFonts w:ascii="Times New Roman" w:hAnsi="Times New Roman"/>
          <w:b/>
          <w:sz w:val="28"/>
          <w:szCs w:val="28"/>
        </w:rPr>
        <w:t>2.</w:t>
      </w:r>
      <w:r w:rsidR="0028273C"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Pr="0028273C">
        <w:rPr>
          <w:rFonts w:ascii="Times New Roman" w:hAnsi="Times New Roman"/>
          <w:b/>
          <w:sz w:val="28"/>
          <w:szCs w:val="28"/>
        </w:rPr>
        <w:t>Задача</w:t>
      </w:r>
      <w:r w:rsidR="0028273C"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="0028273C">
        <w:rPr>
          <w:rFonts w:ascii="Times New Roman" w:hAnsi="Times New Roman"/>
          <w:b/>
          <w:sz w:val="28"/>
          <w:szCs w:val="28"/>
        </w:rPr>
        <w:t>№9</w:t>
      </w:r>
    </w:p>
    <w:p w:rsidR="0028273C" w:rsidRDefault="0028273C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EE6" w:rsidRPr="0028273C" w:rsidRDefault="00596EE6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Определите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страховое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возмещение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системе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пропорциональной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ответственности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системе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первого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риска.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Установите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наиболее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выгодную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систему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возмещения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для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страхования.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Действительная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стоимость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застрахованного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имущества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составляет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25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тыс.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руб.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Страхование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проводится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«в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части»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-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80%.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результате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страхового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случая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установлен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размер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ущерба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19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т.р.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договоре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предусмотрена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безусловная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франшиза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-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6%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страховой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оценке.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Решение: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1.Определяем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страховую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сумму: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(25000*80)/100=20000(руб.)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2.Определить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размер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во</w:t>
      </w:r>
      <w:r w:rsidRPr="0028273C">
        <w:rPr>
          <w:rFonts w:ascii="Times New Roman" w:hAnsi="Times New Roman"/>
          <w:sz w:val="28"/>
          <w:szCs w:val="28"/>
        </w:rPr>
        <w:t>змещения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системе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пропорциональной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ответственности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(без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учета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франшизы):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(19000*20000)/25000=15200(руб.)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3.Из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размера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страховых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во</w:t>
      </w:r>
      <w:r w:rsidRPr="0028273C">
        <w:rPr>
          <w:rFonts w:ascii="Times New Roman" w:hAnsi="Times New Roman"/>
          <w:sz w:val="28"/>
          <w:szCs w:val="28"/>
        </w:rPr>
        <w:t>змещений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вычитается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безусловная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франшиза: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(20000*6)/100=1200(руб.)</w:t>
      </w:r>
    </w:p>
    <w:p w:rsidR="00A3778F" w:rsidRPr="0028273C" w:rsidRDefault="00A3778F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15200-1200</w:t>
      </w:r>
      <w:r w:rsidR="00544E6E" w:rsidRPr="0028273C">
        <w:rPr>
          <w:rFonts w:ascii="Times New Roman" w:hAnsi="Times New Roman"/>
          <w:sz w:val="28"/>
          <w:szCs w:val="28"/>
        </w:rPr>
        <w:t>=14000</w:t>
      </w:r>
      <w:r w:rsidRPr="0028273C">
        <w:rPr>
          <w:rFonts w:ascii="Times New Roman" w:hAnsi="Times New Roman"/>
          <w:sz w:val="28"/>
          <w:szCs w:val="28"/>
        </w:rPr>
        <w:t>(руб.)</w:t>
      </w:r>
      <w:r w:rsidR="00544E6E" w:rsidRPr="0028273C">
        <w:rPr>
          <w:rFonts w:ascii="Times New Roman" w:hAnsi="Times New Roman"/>
          <w:sz w:val="28"/>
          <w:szCs w:val="28"/>
        </w:rPr>
        <w:t>(размер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за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вычетом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франшизы)</w:t>
      </w:r>
    </w:p>
    <w:p w:rsidR="00596EE6" w:rsidRPr="0028273C" w:rsidRDefault="00A3778F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4.Определить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размер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страховых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44E6E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во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змещений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44E6E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44E6E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системе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44E6E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первого</w:t>
      </w:r>
      <w:r w:rsidR="0028273C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544E6E"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риска:</w:t>
      </w:r>
    </w:p>
    <w:p w:rsidR="00544E6E" w:rsidRPr="0028273C" w:rsidRDefault="00544E6E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19000-1200=17800(руб.)</w:t>
      </w:r>
    </w:p>
    <w:p w:rsidR="00544E6E" w:rsidRPr="0028273C" w:rsidRDefault="00544E6E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Ответ:</w:t>
      </w:r>
    </w:p>
    <w:p w:rsidR="00544E6E" w:rsidRPr="0028273C" w:rsidRDefault="00544E6E" w:rsidP="002827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страховое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возмещение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системе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пропорциональной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ответственности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равна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15200(руб.)</w:t>
      </w:r>
    </w:p>
    <w:p w:rsidR="00544E6E" w:rsidRPr="0028273C" w:rsidRDefault="00544E6E" w:rsidP="0028273C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i w:val="0"/>
          <w:color w:val="auto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страховое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возмещение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системе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первого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риска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равна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Style w:val="a5"/>
          <w:rFonts w:ascii="Times New Roman" w:hAnsi="Times New Roman"/>
          <w:i w:val="0"/>
          <w:color w:val="auto"/>
          <w:sz w:val="28"/>
          <w:szCs w:val="28"/>
        </w:rPr>
        <w:t>17800(руб.)</w:t>
      </w:r>
    </w:p>
    <w:p w:rsidR="00544E6E" w:rsidRPr="0028273C" w:rsidRDefault="00544E6E" w:rsidP="0028273C">
      <w:pPr>
        <w:tabs>
          <w:tab w:val="left" w:pos="8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E6E" w:rsidRPr="0028273C" w:rsidRDefault="00544E6E" w:rsidP="0028273C">
      <w:pPr>
        <w:tabs>
          <w:tab w:val="left" w:pos="80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8273C">
        <w:rPr>
          <w:rFonts w:ascii="Times New Roman" w:hAnsi="Times New Roman"/>
          <w:b/>
          <w:sz w:val="28"/>
          <w:szCs w:val="28"/>
        </w:rPr>
        <w:t>3.</w:t>
      </w:r>
      <w:r w:rsidR="0028273C"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Pr="0028273C">
        <w:rPr>
          <w:rFonts w:ascii="Times New Roman" w:hAnsi="Times New Roman"/>
          <w:b/>
          <w:sz w:val="28"/>
          <w:szCs w:val="28"/>
        </w:rPr>
        <w:t>Тестовые</w:t>
      </w:r>
      <w:r w:rsidR="0028273C"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Pr="0028273C">
        <w:rPr>
          <w:rFonts w:ascii="Times New Roman" w:hAnsi="Times New Roman"/>
          <w:b/>
          <w:sz w:val="28"/>
          <w:szCs w:val="28"/>
        </w:rPr>
        <w:t>задания.</w:t>
      </w:r>
      <w:r w:rsidR="0028273C"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Pr="0028273C">
        <w:rPr>
          <w:rFonts w:ascii="Times New Roman" w:hAnsi="Times New Roman"/>
          <w:b/>
          <w:sz w:val="28"/>
          <w:szCs w:val="28"/>
        </w:rPr>
        <w:t>Вариант</w:t>
      </w:r>
      <w:r w:rsidR="0028273C" w:rsidRPr="0028273C">
        <w:rPr>
          <w:rFonts w:ascii="Times New Roman" w:hAnsi="Times New Roman"/>
          <w:b/>
          <w:sz w:val="28"/>
          <w:szCs w:val="28"/>
        </w:rPr>
        <w:t xml:space="preserve"> </w:t>
      </w:r>
      <w:r w:rsidR="0028273C">
        <w:rPr>
          <w:rFonts w:ascii="Times New Roman" w:hAnsi="Times New Roman"/>
          <w:b/>
          <w:sz w:val="28"/>
          <w:szCs w:val="28"/>
        </w:rPr>
        <w:t>8</w:t>
      </w:r>
    </w:p>
    <w:p w:rsidR="0028273C" w:rsidRDefault="0028273C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Тест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1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Выберите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из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ниже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перечисленного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формы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кредита: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1.ростовщический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2.жилищный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3.потребительский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4.банковский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5.ломбардный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кредит.</w:t>
      </w:r>
    </w:p>
    <w:p w:rsidR="00365805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Ответ: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4.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Тест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2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Что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из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ниже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перечисленного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характеризует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свойства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векселя?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1.абстрактность;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2.</w:t>
      </w:r>
      <w:r w:rsidR="00D67246" w:rsidRPr="0028273C">
        <w:rPr>
          <w:rFonts w:ascii="Times New Roman" w:hAnsi="Times New Roman"/>
          <w:sz w:val="28"/>
          <w:szCs w:val="28"/>
        </w:rPr>
        <w:t>ц</w:t>
      </w:r>
      <w:r w:rsidRPr="0028273C">
        <w:rPr>
          <w:rFonts w:ascii="Times New Roman" w:hAnsi="Times New Roman"/>
          <w:sz w:val="28"/>
          <w:szCs w:val="28"/>
        </w:rPr>
        <w:t>енность;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3.бесспорность;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4.наличие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связи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определенной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торговой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средой;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5.обращаемость.</w:t>
      </w:r>
    </w:p>
    <w:p w:rsidR="001046D7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Ответ: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D67246" w:rsidRPr="0028273C">
        <w:rPr>
          <w:rFonts w:ascii="Times New Roman" w:hAnsi="Times New Roman"/>
          <w:sz w:val="28"/>
          <w:szCs w:val="28"/>
        </w:rPr>
        <w:t>5.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Тест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3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Что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является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объектом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кредитования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коммерческом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кредите?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1.денежные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средства;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2.предприятие;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3.товарный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капитал;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4.вексель;</w:t>
      </w:r>
    </w:p>
    <w:p w:rsidR="00365805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5.товаропроизводитель.</w:t>
      </w:r>
    </w:p>
    <w:p w:rsidR="00365805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Ответ: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1046D7" w:rsidRPr="0028273C">
        <w:rPr>
          <w:rFonts w:ascii="Times New Roman" w:hAnsi="Times New Roman"/>
          <w:sz w:val="28"/>
          <w:szCs w:val="28"/>
        </w:rPr>
        <w:t>3.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Тест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4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Что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из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ниже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перечисленного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относится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видам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банковского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кредита?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1046D7" w:rsidRPr="0028273C">
        <w:rPr>
          <w:rFonts w:ascii="Times New Roman" w:hAnsi="Times New Roman"/>
          <w:sz w:val="28"/>
          <w:szCs w:val="28"/>
        </w:rPr>
        <w:t>1.</w:t>
      </w:r>
      <w:r w:rsidRPr="0028273C">
        <w:rPr>
          <w:rFonts w:ascii="Times New Roman" w:hAnsi="Times New Roman"/>
          <w:sz w:val="28"/>
          <w:szCs w:val="28"/>
        </w:rPr>
        <w:t>консигнация;</w:t>
      </w:r>
    </w:p>
    <w:p w:rsidR="00544E6E" w:rsidRPr="0028273C" w:rsidRDefault="001046D7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2</w:t>
      </w:r>
      <w:r w:rsidR="00365805" w:rsidRPr="0028273C">
        <w:rPr>
          <w:rFonts w:ascii="Times New Roman" w:hAnsi="Times New Roman"/>
          <w:sz w:val="28"/>
          <w:szCs w:val="28"/>
        </w:rPr>
        <w:t>.</w:t>
      </w:r>
      <w:r w:rsidR="00544E6E" w:rsidRPr="0028273C">
        <w:rPr>
          <w:rFonts w:ascii="Times New Roman" w:hAnsi="Times New Roman"/>
          <w:sz w:val="28"/>
          <w:szCs w:val="28"/>
        </w:rPr>
        <w:t>контокоррентный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кредит;</w:t>
      </w:r>
    </w:p>
    <w:p w:rsidR="00544E6E" w:rsidRPr="0028273C" w:rsidRDefault="001046D7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3</w:t>
      </w:r>
      <w:r w:rsidR="00365805" w:rsidRPr="0028273C">
        <w:rPr>
          <w:rFonts w:ascii="Times New Roman" w:hAnsi="Times New Roman"/>
          <w:sz w:val="28"/>
          <w:szCs w:val="28"/>
        </w:rPr>
        <w:t>.</w:t>
      </w:r>
      <w:r w:rsidR="00544E6E" w:rsidRPr="0028273C">
        <w:rPr>
          <w:rFonts w:ascii="Times New Roman" w:hAnsi="Times New Roman"/>
          <w:sz w:val="28"/>
          <w:szCs w:val="28"/>
        </w:rPr>
        <w:t>ролловерный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кредит;</w:t>
      </w:r>
    </w:p>
    <w:p w:rsidR="00544E6E" w:rsidRPr="0028273C" w:rsidRDefault="001046D7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4</w:t>
      </w:r>
      <w:r w:rsidR="00365805" w:rsidRPr="0028273C">
        <w:rPr>
          <w:rFonts w:ascii="Times New Roman" w:hAnsi="Times New Roman"/>
          <w:sz w:val="28"/>
          <w:szCs w:val="28"/>
        </w:rPr>
        <w:t>.</w:t>
      </w:r>
      <w:r w:rsidR="00544E6E" w:rsidRPr="0028273C">
        <w:rPr>
          <w:rFonts w:ascii="Times New Roman" w:hAnsi="Times New Roman"/>
          <w:sz w:val="28"/>
          <w:szCs w:val="28"/>
        </w:rPr>
        <w:t>кредит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по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открытому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счету;</w:t>
      </w:r>
    </w:p>
    <w:p w:rsidR="00544E6E" w:rsidRPr="0028273C" w:rsidRDefault="001046D7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5</w:t>
      </w:r>
      <w:r w:rsidR="00365805" w:rsidRPr="0028273C">
        <w:rPr>
          <w:rFonts w:ascii="Times New Roman" w:hAnsi="Times New Roman"/>
          <w:sz w:val="28"/>
          <w:szCs w:val="28"/>
        </w:rPr>
        <w:t>.</w:t>
      </w:r>
      <w:r w:rsidR="00544E6E" w:rsidRPr="0028273C">
        <w:rPr>
          <w:rFonts w:ascii="Times New Roman" w:hAnsi="Times New Roman"/>
          <w:sz w:val="28"/>
          <w:szCs w:val="28"/>
        </w:rPr>
        <w:t>консорциальный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кредит.</w:t>
      </w:r>
    </w:p>
    <w:p w:rsidR="00365805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Ответ:</w:t>
      </w:r>
      <w:r w:rsidR="001046D7" w:rsidRPr="0028273C">
        <w:rPr>
          <w:rFonts w:ascii="Times New Roman" w:hAnsi="Times New Roman"/>
          <w:sz w:val="28"/>
          <w:szCs w:val="28"/>
        </w:rPr>
        <w:t>2,3.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Тест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5</w:t>
      </w:r>
    </w:p>
    <w:p w:rsidR="00544E6E" w:rsidRPr="0028273C" w:rsidRDefault="00544E6E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Кто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может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выступать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кредитором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в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рамках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отношений,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связанных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с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потребительским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кредитом?</w:t>
      </w:r>
    </w:p>
    <w:p w:rsidR="00544E6E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1.</w:t>
      </w:r>
      <w:r w:rsidR="00544E6E" w:rsidRPr="0028273C">
        <w:rPr>
          <w:rFonts w:ascii="Times New Roman" w:hAnsi="Times New Roman"/>
          <w:sz w:val="28"/>
          <w:szCs w:val="28"/>
        </w:rPr>
        <w:t>физические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лица;</w:t>
      </w:r>
    </w:p>
    <w:p w:rsidR="00544E6E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2.</w:t>
      </w:r>
      <w:r w:rsidR="00544E6E" w:rsidRPr="0028273C">
        <w:rPr>
          <w:rFonts w:ascii="Times New Roman" w:hAnsi="Times New Roman"/>
          <w:sz w:val="28"/>
          <w:szCs w:val="28"/>
        </w:rPr>
        <w:t>банки;</w:t>
      </w:r>
    </w:p>
    <w:p w:rsidR="00544E6E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3.</w:t>
      </w:r>
      <w:r w:rsidR="00544E6E" w:rsidRPr="0028273C">
        <w:rPr>
          <w:rFonts w:ascii="Times New Roman" w:hAnsi="Times New Roman"/>
          <w:sz w:val="28"/>
          <w:szCs w:val="28"/>
        </w:rPr>
        <w:t>небанковские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кредитные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учреждения;</w:t>
      </w:r>
    </w:p>
    <w:p w:rsidR="00544E6E" w:rsidRPr="0028273C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4.</w:t>
      </w:r>
      <w:r w:rsidR="00544E6E" w:rsidRPr="0028273C">
        <w:rPr>
          <w:rFonts w:ascii="Times New Roman" w:hAnsi="Times New Roman"/>
          <w:sz w:val="28"/>
          <w:szCs w:val="28"/>
        </w:rPr>
        <w:t>торговые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предприятия;</w:t>
      </w:r>
    </w:p>
    <w:p w:rsidR="003C1C6B" w:rsidRDefault="00365805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5.</w:t>
      </w:r>
      <w:r w:rsidR="00544E6E" w:rsidRPr="0028273C">
        <w:rPr>
          <w:rFonts w:ascii="Times New Roman" w:hAnsi="Times New Roman"/>
          <w:sz w:val="28"/>
          <w:szCs w:val="28"/>
        </w:rPr>
        <w:t>налоговая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544E6E" w:rsidRPr="0028273C">
        <w:rPr>
          <w:rFonts w:ascii="Times New Roman" w:hAnsi="Times New Roman"/>
          <w:sz w:val="28"/>
          <w:szCs w:val="28"/>
        </w:rPr>
        <w:t>инспекция.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="001046D7" w:rsidRPr="0028273C">
        <w:rPr>
          <w:rFonts w:ascii="Times New Roman" w:hAnsi="Times New Roman"/>
          <w:sz w:val="28"/>
          <w:szCs w:val="28"/>
        </w:rPr>
        <w:t>Ответ:</w:t>
      </w:r>
      <w:r w:rsidR="00E01EF6" w:rsidRPr="0028273C">
        <w:rPr>
          <w:rFonts w:ascii="Times New Roman" w:hAnsi="Times New Roman"/>
          <w:sz w:val="28"/>
          <w:szCs w:val="28"/>
        </w:rPr>
        <w:t>2.</w:t>
      </w:r>
    </w:p>
    <w:p w:rsidR="003C1C6B" w:rsidRDefault="003C1C6B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C6B" w:rsidRDefault="003C1C6B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C6B" w:rsidRDefault="003C1C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01EF6" w:rsidRDefault="00E01EF6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Список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литературы:</w:t>
      </w:r>
    </w:p>
    <w:p w:rsidR="003C1C6B" w:rsidRPr="0028273C" w:rsidRDefault="003C1C6B" w:rsidP="0028273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E6E" w:rsidRDefault="00E01EF6" w:rsidP="003C1C6B">
      <w:pPr>
        <w:tabs>
          <w:tab w:val="left" w:pos="80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73C">
        <w:rPr>
          <w:rFonts w:ascii="Times New Roman" w:hAnsi="Times New Roman"/>
          <w:sz w:val="28"/>
          <w:szCs w:val="28"/>
        </w:rPr>
        <w:t>«Финансы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и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кредит»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/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Под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ред.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проф.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М.В.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Романовского,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проф.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Г.Н.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Белоглазовой.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–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М.: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«Юрайт-издат»,</w:t>
      </w:r>
      <w:r w:rsidR="0028273C" w:rsidRPr="0028273C">
        <w:rPr>
          <w:rFonts w:ascii="Times New Roman" w:hAnsi="Times New Roman"/>
          <w:sz w:val="28"/>
          <w:szCs w:val="28"/>
        </w:rPr>
        <w:t xml:space="preserve"> </w:t>
      </w:r>
      <w:r w:rsidRPr="0028273C">
        <w:rPr>
          <w:rFonts w:ascii="Times New Roman" w:hAnsi="Times New Roman"/>
          <w:sz w:val="28"/>
          <w:szCs w:val="28"/>
        </w:rPr>
        <w:t>2009</w:t>
      </w:r>
    </w:p>
    <w:p w:rsidR="00086403" w:rsidRDefault="00086403" w:rsidP="0028273C">
      <w:pPr>
        <w:tabs>
          <w:tab w:val="left" w:pos="8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403" w:rsidRPr="00972616" w:rsidRDefault="00086403" w:rsidP="00086403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086403" w:rsidRPr="00972616" w:rsidSect="003C1C6B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878" w:rsidRDefault="00DD2878" w:rsidP="00086403">
      <w:pPr>
        <w:spacing w:after="0" w:line="240" w:lineRule="auto"/>
      </w:pPr>
      <w:r>
        <w:separator/>
      </w:r>
    </w:p>
  </w:endnote>
  <w:endnote w:type="continuationSeparator" w:id="0">
    <w:p w:rsidR="00DD2878" w:rsidRDefault="00DD2878" w:rsidP="0008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878" w:rsidRDefault="00DD2878" w:rsidP="00086403">
      <w:pPr>
        <w:spacing w:after="0" w:line="240" w:lineRule="auto"/>
      </w:pPr>
      <w:r>
        <w:separator/>
      </w:r>
    </w:p>
  </w:footnote>
  <w:footnote w:type="continuationSeparator" w:id="0">
    <w:p w:rsidR="00DD2878" w:rsidRDefault="00DD2878" w:rsidP="0008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03" w:rsidRPr="00086403" w:rsidRDefault="00086403" w:rsidP="00086403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4224"/>
    <w:multiLevelType w:val="hybridMultilevel"/>
    <w:tmpl w:val="21FC235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C443283"/>
    <w:multiLevelType w:val="hybridMultilevel"/>
    <w:tmpl w:val="F102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BC12A6"/>
    <w:multiLevelType w:val="hybridMultilevel"/>
    <w:tmpl w:val="1904F8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CAB515A"/>
    <w:multiLevelType w:val="hybridMultilevel"/>
    <w:tmpl w:val="6CC645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A6E3F1D"/>
    <w:multiLevelType w:val="hybridMultilevel"/>
    <w:tmpl w:val="12DA8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AEE6413"/>
    <w:multiLevelType w:val="hybridMultilevel"/>
    <w:tmpl w:val="0E66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DC690F"/>
    <w:multiLevelType w:val="hybridMultilevel"/>
    <w:tmpl w:val="5EA08C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4EC016C"/>
    <w:multiLevelType w:val="hybridMultilevel"/>
    <w:tmpl w:val="56C2DE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588"/>
    <w:rsid w:val="00086403"/>
    <w:rsid w:val="001046D7"/>
    <w:rsid w:val="00246F19"/>
    <w:rsid w:val="0028273C"/>
    <w:rsid w:val="00365805"/>
    <w:rsid w:val="003C1C6B"/>
    <w:rsid w:val="003C5588"/>
    <w:rsid w:val="00487881"/>
    <w:rsid w:val="00544E6E"/>
    <w:rsid w:val="00596EE6"/>
    <w:rsid w:val="00972616"/>
    <w:rsid w:val="009803E3"/>
    <w:rsid w:val="00A3778F"/>
    <w:rsid w:val="00D67246"/>
    <w:rsid w:val="00DD2878"/>
    <w:rsid w:val="00E01EF6"/>
    <w:rsid w:val="00EC746E"/>
    <w:rsid w:val="00F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6B94E7-C1AF-4BE9-97D1-D2295786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8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588"/>
    <w:pPr>
      <w:ind w:left="720"/>
      <w:contextualSpacing/>
    </w:pPr>
  </w:style>
  <w:style w:type="paragraph" w:styleId="a4">
    <w:name w:val="No Spacing"/>
    <w:uiPriority w:val="1"/>
    <w:qFormat/>
    <w:rsid w:val="00596EE6"/>
    <w:rPr>
      <w:rFonts w:cs="Times New Roman"/>
      <w:sz w:val="22"/>
      <w:szCs w:val="22"/>
    </w:rPr>
  </w:style>
  <w:style w:type="character" w:styleId="a5">
    <w:name w:val="Subtle Emphasis"/>
    <w:uiPriority w:val="19"/>
    <w:qFormat/>
    <w:rsid w:val="00596EE6"/>
    <w:rPr>
      <w:rFonts w:cs="Times New Roman"/>
      <w:i/>
      <w:iCs/>
      <w:color w:val="808080"/>
    </w:rPr>
  </w:style>
  <w:style w:type="paragraph" w:styleId="a6">
    <w:name w:val="header"/>
    <w:basedOn w:val="a"/>
    <w:link w:val="a7"/>
    <w:uiPriority w:val="99"/>
    <w:unhideWhenUsed/>
    <w:rsid w:val="0008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86403"/>
    <w:rPr>
      <w:rFonts w:eastAsia="Times New Roman" w:cs="Times New Roman"/>
      <w:lang w:val="x-none" w:eastAsia="ru-RU"/>
    </w:rPr>
  </w:style>
  <w:style w:type="paragraph" w:styleId="a8">
    <w:name w:val="footer"/>
    <w:basedOn w:val="a"/>
    <w:link w:val="a9"/>
    <w:uiPriority w:val="99"/>
    <w:semiHidden/>
    <w:unhideWhenUsed/>
    <w:rsid w:val="0008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86403"/>
    <w:rPr>
      <w:rFonts w:eastAsia="Times New Roman" w:cs="Times New Roman"/>
      <w:lang w:val="x-none" w:eastAsia="ru-RU"/>
    </w:rPr>
  </w:style>
  <w:style w:type="character" w:styleId="aa">
    <w:name w:val="Hyperlink"/>
    <w:uiPriority w:val="99"/>
    <w:unhideWhenUsed/>
    <w:rsid w:val="00086403"/>
    <w:rPr>
      <w:rFonts w:cs="Times New Roman"/>
      <w:color w:val="0000FF"/>
      <w:u w:val="single"/>
    </w:rPr>
  </w:style>
  <w:style w:type="paragraph" w:customStyle="1" w:styleId="1">
    <w:name w:val="Текст1"/>
    <w:basedOn w:val="a"/>
    <w:rsid w:val="00F814F0"/>
    <w:pPr>
      <w:widowControl w:val="0"/>
      <w:suppressAutoHyphens/>
      <w:spacing w:after="0" w:line="240" w:lineRule="auto"/>
    </w:pPr>
    <w:rPr>
      <w:rFonts w:ascii="Courier New" w:hAnsi="Courier New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admin</cp:lastModifiedBy>
  <cp:revision>2</cp:revision>
  <dcterms:created xsi:type="dcterms:W3CDTF">2014-03-25T17:57:00Z</dcterms:created>
  <dcterms:modified xsi:type="dcterms:W3CDTF">2014-03-25T17:57:00Z</dcterms:modified>
</cp:coreProperties>
</file>