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5CE" w:rsidRPr="00FB15CE" w:rsidRDefault="00FB15CE" w:rsidP="00FB15CE">
      <w:pPr>
        <w:rPr>
          <w:sz w:val="28"/>
          <w:szCs w:val="28"/>
        </w:rPr>
      </w:pPr>
      <w:r w:rsidRPr="00FB15CE">
        <w:rPr>
          <w:sz w:val="28"/>
          <w:szCs w:val="28"/>
        </w:rPr>
        <w:t>СОДЕРЖАНИЕ</w:t>
      </w:r>
    </w:p>
    <w:p w:rsidR="00FB15CE" w:rsidRPr="00FB15CE" w:rsidRDefault="00FB15CE" w:rsidP="00FB15CE">
      <w:pPr>
        <w:rPr>
          <w:sz w:val="28"/>
          <w:szCs w:val="28"/>
        </w:rPr>
      </w:pP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 xml:space="preserve">Правовая база государственного регулирования </w:t>
      </w:r>
    </w:p>
    <w:p w:rsidR="00FB15CE" w:rsidRPr="00FB15CE" w:rsidRDefault="00FB15CE" w:rsidP="00FB15CE">
      <w:pPr>
        <w:rPr>
          <w:sz w:val="28"/>
          <w:szCs w:val="28"/>
        </w:rPr>
      </w:pPr>
      <w:r w:rsidRPr="00FB15CE">
        <w:rPr>
          <w:sz w:val="28"/>
          <w:szCs w:val="28"/>
        </w:rPr>
        <w:t>валютного рынка России</w:t>
      </w:r>
      <w:r w:rsidRPr="00FB15CE">
        <w:rPr>
          <w:sz w:val="28"/>
          <w:szCs w:val="28"/>
        </w:rPr>
        <w:tab/>
      </w: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 xml:space="preserve">1.1 Государственное регулирование валютного </w:t>
      </w:r>
    </w:p>
    <w:p w:rsidR="00FB15CE" w:rsidRPr="00FB15CE" w:rsidRDefault="00FB15CE" w:rsidP="00FB15CE">
      <w:pPr>
        <w:rPr>
          <w:sz w:val="28"/>
          <w:szCs w:val="28"/>
        </w:rPr>
      </w:pPr>
      <w:r w:rsidRPr="00FB15CE">
        <w:rPr>
          <w:sz w:val="28"/>
          <w:szCs w:val="28"/>
        </w:rPr>
        <w:t xml:space="preserve">рынка России </w:t>
      </w: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 xml:space="preserve"> 1.2  Характеристика валютных правоотношений </w:t>
      </w: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 xml:space="preserve">1.3 Валютный курс и порядок его определения </w:t>
      </w: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1.4 Правовое регулирование валютного контроля</w:t>
      </w: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1.5 Ответственность за нарушение правил о валютных операциях</w:t>
      </w:r>
    </w:p>
    <w:p w:rsidR="00FB15CE" w:rsidRPr="00FB15CE" w:rsidRDefault="00FB15CE" w:rsidP="00FB15CE">
      <w:pPr>
        <w:rPr>
          <w:sz w:val="28"/>
          <w:szCs w:val="28"/>
        </w:rPr>
      </w:pP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2. Бреттонвудская валютная система</w:t>
      </w: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2.1 Кризис мировой валютной системы</w:t>
      </w:r>
    </w:p>
    <w:p w:rsidR="00FB15CE" w:rsidRPr="00FB15CE" w:rsidRDefault="00FB15CE" w:rsidP="00FB15CE">
      <w:pPr>
        <w:rPr>
          <w:sz w:val="28"/>
          <w:szCs w:val="28"/>
        </w:rPr>
      </w:pPr>
      <w:r w:rsidRPr="00FB15CE">
        <w:rPr>
          <w:sz w:val="28"/>
          <w:szCs w:val="28"/>
        </w:rPr>
        <w:t xml:space="preserve"> и создание Бреттонвудской системы</w:t>
      </w: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2.2 Проблемы функционирования бреттонвудской</w:t>
      </w:r>
    </w:p>
    <w:p w:rsidR="00FB15CE" w:rsidRPr="00FB15CE" w:rsidRDefault="00FB15CE" w:rsidP="00FB15CE">
      <w:pPr>
        <w:rPr>
          <w:sz w:val="28"/>
          <w:szCs w:val="28"/>
        </w:rPr>
      </w:pPr>
      <w:r w:rsidRPr="00FB15CE">
        <w:rPr>
          <w:sz w:val="28"/>
          <w:szCs w:val="28"/>
        </w:rPr>
        <w:t xml:space="preserve">      валютной системы</w:t>
      </w: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2.3 Кризис бреттонвудской валютной системы</w:t>
      </w: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 xml:space="preserve">  2.4 Особенности и экономические последствия </w:t>
      </w:r>
    </w:p>
    <w:p w:rsidR="00FB15CE" w:rsidRPr="00FB15CE" w:rsidRDefault="00FB15CE" w:rsidP="00FB15CE">
      <w:pPr>
        <w:rPr>
          <w:sz w:val="28"/>
          <w:szCs w:val="28"/>
        </w:rPr>
      </w:pPr>
      <w:r w:rsidRPr="00FB15CE">
        <w:rPr>
          <w:sz w:val="28"/>
          <w:szCs w:val="28"/>
        </w:rPr>
        <w:t xml:space="preserve">        кризиса Бреттонвудской валютной системы</w:t>
      </w:r>
    </w:p>
    <w:p w:rsidR="00FB15CE" w:rsidRPr="00FB15CE" w:rsidRDefault="00FB15CE" w:rsidP="00FB15CE">
      <w:pPr>
        <w:rPr>
          <w:sz w:val="28"/>
          <w:szCs w:val="28"/>
        </w:rPr>
      </w:pPr>
    </w:p>
    <w:p w:rsidR="00FB15CE" w:rsidRPr="00FB15CE" w:rsidRDefault="00FB15CE" w:rsidP="00FB15CE">
      <w:pPr>
        <w:rPr>
          <w:sz w:val="28"/>
          <w:szCs w:val="28"/>
        </w:rPr>
      </w:pPr>
    </w:p>
    <w:p w:rsidR="00FB15CE" w:rsidRPr="00FB15CE" w:rsidRDefault="00FB15CE" w:rsidP="00FB15CE">
      <w:pPr>
        <w:rPr>
          <w:sz w:val="28"/>
          <w:szCs w:val="28"/>
        </w:rPr>
      </w:pPr>
      <w:r w:rsidRPr="00FB15CE">
        <w:rPr>
          <w:sz w:val="28"/>
          <w:szCs w:val="28"/>
        </w:rPr>
        <w:t xml:space="preserve"> Список использованной литературы </w:t>
      </w:r>
    </w:p>
    <w:p w:rsidR="00FB15CE" w:rsidRDefault="00FB15CE" w:rsidP="00FB15CE">
      <w:pPr>
        <w:ind w:right="-766" w:firstLine="567"/>
        <w:rPr>
          <w:sz w:val="28"/>
          <w:szCs w:val="28"/>
        </w:rPr>
      </w:pPr>
    </w:p>
    <w:p w:rsidR="00FB15CE" w:rsidRDefault="00FB15CE" w:rsidP="00FB15CE">
      <w:pPr>
        <w:ind w:right="-286" w:firstLine="851"/>
        <w:rPr>
          <w:sz w:val="28"/>
          <w:szCs w:val="28"/>
        </w:rPr>
      </w:pPr>
    </w:p>
    <w:p w:rsidR="00FB15CE" w:rsidRDefault="00FB15CE" w:rsidP="00FB15CE">
      <w:pPr>
        <w:ind w:left="851" w:right="-766" w:hanging="284"/>
        <w:jc w:val="both"/>
        <w:rPr>
          <w:b/>
          <w:bCs/>
          <w:i/>
          <w:iCs/>
          <w:sz w:val="28"/>
          <w:szCs w:val="28"/>
        </w:rPr>
      </w:pPr>
    </w:p>
    <w:p w:rsidR="00FB15CE" w:rsidRDefault="00FB15CE" w:rsidP="00FB15CE">
      <w:pPr>
        <w:pStyle w:val="21"/>
        <w:ind w:left="993" w:right="-766"/>
        <w:rPr>
          <w:sz w:val="28"/>
          <w:szCs w:val="28"/>
        </w:rPr>
      </w:pPr>
    </w:p>
    <w:p w:rsidR="00FB15CE" w:rsidRDefault="00FB15CE" w:rsidP="00FB15CE">
      <w:pPr>
        <w:ind w:right="-766"/>
      </w:pPr>
    </w:p>
    <w:p w:rsidR="00FB15CE" w:rsidRDefault="00FB15CE">
      <w:pPr>
        <w:pStyle w:val="a8"/>
        <w:spacing w:line="240" w:lineRule="auto"/>
        <w:ind w:firstLine="708"/>
        <w:rPr>
          <w:b/>
          <w:bCs/>
          <w:sz w:val="28"/>
          <w:szCs w:val="28"/>
          <w:lang w:val="en-US"/>
        </w:rPr>
      </w:pPr>
      <w:r>
        <w:rPr>
          <w:b/>
          <w:bCs/>
          <w:sz w:val="28"/>
          <w:szCs w:val="28"/>
          <w:lang w:val="en-US"/>
        </w:rPr>
        <w:br w:type="page"/>
      </w:r>
    </w:p>
    <w:p w:rsidR="00FB15CE" w:rsidRDefault="00FB15CE">
      <w:pPr>
        <w:pStyle w:val="a8"/>
        <w:spacing w:line="240" w:lineRule="auto"/>
        <w:ind w:firstLine="708"/>
        <w:rPr>
          <w:sz w:val="28"/>
          <w:szCs w:val="28"/>
        </w:rPr>
      </w:pPr>
      <w:r>
        <w:rPr>
          <w:b/>
          <w:bCs/>
          <w:sz w:val="28"/>
          <w:szCs w:val="28"/>
        </w:rPr>
        <w:t>1.1</w:t>
      </w:r>
      <w:r>
        <w:rPr>
          <w:sz w:val="28"/>
          <w:szCs w:val="28"/>
        </w:rPr>
        <w:t xml:space="preserve"> Г</w:t>
      </w:r>
      <w:r>
        <w:rPr>
          <w:b/>
          <w:bCs/>
          <w:sz w:val="28"/>
          <w:szCs w:val="28"/>
        </w:rPr>
        <w:t>осударственное регулирование валютного рынка России.</w:t>
      </w:r>
      <w:r>
        <w:rPr>
          <w:sz w:val="28"/>
          <w:szCs w:val="28"/>
        </w:rPr>
        <w:t xml:space="preserve"> </w:t>
      </w:r>
    </w:p>
    <w:p w:rsidR="00FB15CE" w:rsidRDefault="00FB15CE">
      <w:pPr>
        <w:pStyle w:val="a8"/>
        <w:spacing w:line="240" w:lineRule="auto"/>
        <w:ind w:firstLine="708"/>
        <w:rPr>
          <w:sz w:val="28"/>
          <w:szCs w:val="28"/>
        </w:rPr>
      </w:pPr>
    </w:p>
    <w:p w:rsidR="00FB15CE" w:rsidRDefault="00FB15CE">
      <w:pPr>
        <w:pStyle w:val="a8"/>
        <w:spacing w:line="240" w:lineRule="auto"/>
        <w:ind w:firstLine="708"/>
        <w:rPr>
          <w:sz w:val="28"/>
          <w:szCs w:val="28"/>
        </w:rPr>
      </w:pPr>
      <w:r>
        <w:rPr>
          <w:sz w:val="28"/>
          <w:szCs w:val="28"/>
        </w:rPr>
        <w:t>Началом современного этапа развития валютного законодательства в РФ стало вступление в силу Закона РФ «О валютном регулировании и валютном контроле» в ноябре 1992 года. Названный закон (от 09.10.1992 г. № 3615-1) в редакции Федеральных законов от 29.12.1998 г. № 192-ФЗ и от 05.07.1999 г. № 128-ФЗ действует на территории РФ и в настоящее время. В этом законодательном акте, по сравнению с законом СССР, были уточнены и развиты основные понятия валютного законодательства, а также, с учетом накопленного опыта регулирования валютных отношений, существенно изменена его структура и содержание.</w:t>
      </w:r>
    </w:p>
    <w:p w:rsidR="00FB15CE" w:rsidRDefault="00FB15CE">
      <w:pPr>
        <w:pStyle w:val="a8"/>
        <w:spacing w:line="240" w:lineRule="auto"/>
        <w:rPr>
          <w:sz w:val="28"/>
          <w:szCs w:val="28"/>
        </w:rPr>
      </w:pPr>
      <w:r>
        <w:rPr>
          <w:sz w:val="28"/>
          <w:szCs w:val="28"/>
        </w:rPr>
        <w:tab/>
        <w:t>В Раздел 2 «Валютное регулирование» была введена новая статья «Защита валюты РФ» (ст.2) с важнейшим положением о том, что расчеты между резидентами осуществляются в валюте РФ осуществляются без ограничений, а расчеты с нерезидентами – в порядке устанавливаемом Банком России. В статье 3 подтверждено право собственности резидентов и нерезидентов на валютные ценности в РФ, которое защищается государством наряду с правом собственности на другие объекты собственности. Там же установлено, что виды обязательных платежей государству в иностранной валюте определяются законами РФ. В статье 4 подробно регламентированы вопросы деятельности внутреннего валютного рынка РФ: право покупки резидентами иностранной валюты на внутреннем валютном рынке РФ и правило осуществления таких операций только через уполномоченные банки.</w:t>
      </w:r>
    </w:p>
    <w:p w:rsidR="00FB15CE" w:rsidRDefault="00FB15CE">
      <w:pPr>
        <w:pStyle w:val="a8"/>
        <w:spacing w:line="240" w:lineRule="auto"/>
        <w:rPr>
          <w:sz w:val="28"/>
          <w:szCs w:val="28"/>
        </w:rPr>
      </w:pPr>
      <w:r>
        <w:rPr>
          <w:sz w:val="28"/>
          <w:szCs w:val="28"/>
        </w:rPr>
        <w:tab/>
        <w:t>Кардинально был изменен Раздел 3 «Валютный контроль», в котором было установлено, что органами валютного контроля в РФ являются Центральный Банк РФ и Правительство РФ. Впервые в юридический оборот был введен институт «агентов валютного контроля», то есть организаций, которые на основе законодательных актов могут осуществлять функции валютного контроля. В этом разделе закона определены функции органов и агентов валютного контроля; права и обязанности резидентов и нерезидентов, осуществляющих в РФ валютные операции; ответственность резидентов и нерезидентов за нарушение валютного законодательства; зафиксированы права и обязанности должностных лиц органов и агентов валютного контроля.</w:t>
      </w:r>
    </w:p>
    <w:p w:rsidR="00FB15CE" w:rsidRDefault="00FB15CE">
      <w:pPr>
        <w:pStyle w:val="a8"/>
        <w:spacing w:line="240" w:lineRule="auto"/>
        <w:rPr>
          <w:sz w:val="28"/>
          <w:szCs w:val="28"/>
        </w:rPr>
      </w:pPr>
      <w:r>
        <w:rPr>
          <w:sz w:val="28"/>
          <w:szCs w:val="28"/>
        </w:rPr>
        <w:tab/>
        <w:t>Несмотря на то, что Закон РФ «О валютном регулировании и валютном контроле» содержит ряд отдельных неточностей, которые предстоит исправить, он является главным источником валютного законодательства РФ и важнейшей вехой развития валютного регулирования в стране. Отсутствие в тексте закона детализированных норм является скорее плюсом, чем минусов рассматриваемого закона – закрепление на продолжительный срок определенного набора валютных ограничений стало бы искусственным препятствием для интеграции нашей страны в мировую экономику и не позволило бы оперативно решать возникающие в сфере валютных отношений проблемы в условиях быстроменяющейся экономической ситуации.</w:t>
      </w:r>
    </w:p>
    <w:p w:rsidR="00FB15CE" w:rsidRDefault="00FB15CE">
      <w:pPr>
        <w:rPr>
          <w:sz w:val="28"/>
          <w:szCs w:val="28"/>
        </w:rPr>
      </w:pPr>
    </w:p>
    <w:p w:rsidR="00FB15CE" w:rsidRDefault="00FB15CE">
      <w:pPr>
        <w:rPr>
          <w:b/>
          <w:bCs/>
          <w:sz w:val="28"/>
          <w:szCs w:val="28"/>
        </w:rPr>
      </w:pPr>
      <w:r>
        <w:rPr>
          <w:b/>
          <w:bCs/>
          <w:sz w:val="28"/>
          <w:szCs w:val="28"/>
        </w:rPr>
        <w:t>1.2 Характеристика валютных правоотношений</w:t>
      </w:r>
    </w:p>
    <w:p w:rsidR="00FB15CE" w:rsidRDefault="00FB15CE">
      <w:pPr>
        <w:rPr>
          <w:sz w:val="28"/>
          <w:szCs w:val="28"/>
        </w:rPr>
      </w:pPr>
    </w:p>
    <w:p w:rsidR="00FB15CE" w:rsidRDefault="00FB15CE">
      <w:pPr>
        <w:pStyle w:val="a8"/>
        <w:spacing w:line="240" w:lineRule="auto"/>
        <w:rPr>
          <w:sz w:val="28"/>
          <w:szCs w:val="28"/>
        </w:rPr>
      </w:pPr>
      <w:r>
        <w:rPr>
          <w:sz w:val="28"/>
          <w:szCs w:val="28"/>
        </w:rPr>
        <w:tab/>
        <w:t>Можно выделить несколько групп правоотношений, которые регулируются валютным законодательством: правоотношения, складывающиеся в процессе владения, пользования и распоряжения валютными ценностями на территории РФ; правоотношения, в которые вступают резиденты и которые приводят или должны привести к возникновению прав на валютные ценности вне зависимости от нахождения на территории РФ; правоотношения, складывающиеся в связи с расчетами между нерезидентами и резидентами в валюте РФ; правоотношения, складывающихся в связи с осуществлением контроля за реализацией правоотношений первых трех групп.</w:t>
      </w:r>
    </w:p>
    <w:p w:rsidR="00FB15CE" w:rsidRDefault="00FB15CE">
      <w:pPr>
        <w:pStyle w:val="a8"/>
        <w:spacing w:line="240" w:lineRule="auto"/>
        <w:rPr>
          <w:sz w:val="28"/>
          <w:szCs w:val="28"/>
        </w:rPr>
      </w:pPr>
      <w:r>
        <w:rPr>
          <w:sz w:val="28"/>
          <w:szCs w:val="28"/>
        </w:rPr>
        <w:tab/>
        <w:t>Валютные правоотношения обладают определенными специфическими особенностями: они возникают, развиваются и прекращаются в связи с обращением специфического объекта (валютных ценностей – ограниченно оборотоспособных вещей) или в связи с участием в расчетах нерезидента; они, как правило, постоянно находятся под контролем органов и агентов валютного контроля; они, как правило, отражают приоритет публично-правовых интересов в регулируемой сфере над частноправовыми.</w:t>
      </w:r>
    </w:p>
    <w:p w:rsidR="00FB15CE" w:rsidRDefault="00FB15CE">
      <w:pPr>
        <w:pStyle w:val="a8"/>
        <w:spacing w:line="240" w:lineRule="auto"/>
        <w:rPr>
          <w:sz w:val="28"/>
          <w:szCs w:val="28"/>
        </w:rPr>
      </w:pPr>
      <w:r>
        <w:rPr>
          <w:sz w:val="28"/>
          <w:szCs w:val="28"/>
        </w:rPr>
        <w:tab/>
        <w:t>Субъектами валютных правоотношений являются 2 категории: резиденты и нерезиденты. Под объектами валютных правоотношений понимают: валюту РФ, ценные бумаги в валюте РФ, иностранную валюту и валютные ценности. Содержание валютного правоотношения включает в себя право на совершение валютных операций и связанные с этим обязанности субъектов.</w:t>
      </w:r>
    </w:p>
    <w:p w:rsidR="00FB15CE" w:rsidRDefault="00FB15CE">
      <w:pPr>
        <w:pStyle w:val="a8"/>
        <w:spacing w:line="240" w:lineRule="auto"/>
        <w:ind w:firstLine="720"/>
        <w:rPr>
          <w:sz w:val="28"/>
          <w:szCs w:val="28"/>
        </w:rPr>
      </w:pPr>
      <w:r>
        <w:rPr>
          <w:sz w:val="28"/>
          <w:szCs w:val="28"/>
        </w:rPr>
        <w:t>Валютные отношения регулируются как специальными нормами финансового права, так и нормами других отраслей права и представляют собой особый финансово-правовой институт – валютное право. К основным элементам валютного регулирования можно отнести: установление порядка проведения валютных операций; определение условий и порядка формирования валютного резерва страны и валютных фондов хозяйствующих субъектов; валютный контроль.</w:t>
      </w:r>
    </w:p>
    <w:p w:rsidR="00FB15CE" w:rsidRDefault="00FB15CE">
      <w:pPr>
        <w:jc w:val="both"/>
        <w:rPr>
          <w:sz w:val="28"/>
          <w:szCs w:val="28"/>
        </w:rPr>
      </w:pPr>
      <w:r>
        <w:rPr>
          <w:sz w:val="28"/>
          <w:szCs w:val="28"/>
        </w:rPr>
        <w:tab/>
        <w:t xml:space="preserve">Закон РФ «О валютном регулировании и валютном контроле» закрепляет систему юридических понятий регулирования валютных отношений и в первую очередь понятие </w:t>
      </w:r>
      <w:r>
        <w:rPr>
          <w:sz w:val="28"/>
          <w:szCs w:val="28"/>
          <w:u w:val="single"/>
        </w:rPr>
        <w:t>«валюты РФ»</w:t>
      </w:r>
      <w:r>
        <w:rPr>
          <w:sz w:val="28"/>
          <w:szCs w:val="28"/>
        </w:rPr>
        <w:t>. Согласно статьи 1 Закона – это: а) рубли в виде банковских билетов ЦБ РФ и монеты; б) средства в рублях на счетах в кредитных учреждениях в РФ; в) средства в рублях на счетах в кредитных учреждениях за пределами РФ (на основании межправительственных соглашений об использовании валюты РФ в качестве законного платежного средства). Валюта и деньги - понятия не идентичные. Валюта, являясь формой денег, имеет одну специфическую особенность: ее нацеленность на мировой рынок, на обслуживание международных экономических отношений. Таким образом, валютой становятся те деньги, которые признаны мировым сообществом в качестве всеобщего эквивалента.</w:t>
      </w:r>
    </w:p>
    <w:p w:rsidR="00FB15CE" w:rsidRDefault="00FB15CE">
      <w:pPr>
        <w:ind w:firstLine="720"/>
        <w:jc w:val="both"/>
        <w:rPr>
          <w:sz w:val="28"/>
          <w:szCs w:val="28"/>
        </w:rPr>
      </w:pPr>
      <w:r>
        <w:rPr>
          <w:sz w:val="28"/>
          <w:szCs w:val="28"/>
        </w:rPr>
        <w:t>Валюта РФ имеет 3 основные особенности: национальной валютной единицей является рубль РФ, законодательно введенный в обращение в 1993 году; согласно названного Закона, в качестве валюты выступают не реальные деньги (золотые или серебряные монеты, обладающие собственной стоимостью соответствующего драгоценного металла), а их функциональные формы: банкноты, монеты, записи по счетам – символы стоимости; определение в законе двух разных степеней «материализации» валюты – традиционные монеты и банкноты, а также записи на счетах.</w:t>
      </w:r>
    </w:p>
    <w:p w:rsidR="00FB15CE" w:rsidRDefault="00FB15CE">
      <w:pPr>
        <w:ind w:firstLine="720"/>
        <w:jc w:val="both"/>
        <w:rPr>
          <w:sz w:val="28"/>
          <w:szCs w:val="28"/>
        </w:rPr>
      </w:pPr>
      <w:r>
        <w:rPr>
          <w:sz w:val="28"/>
          <w:szCs w:val="28"/>
        </w:rPr>
        <w:t xml:space="preserve">Закон содержит формулировку </w:t>
      </w:r>
      <w:r>
        <w:rPr>
          <w:sz w:val="28"/>
          <w:szCs w:val="28"/>
          <w:u w:val="single"/>
        </w:rPr>
        <w:t>«иностранной валюты»</w:t>
      </w:r>
      <w:r>
        <w:rPr>
          <w:sz w:val="28"/>
          <w:szCs w:val="28"/>
        </w:rPr>
        <w:t xml:space="preserve"> (ст.3), под которой понимаются: а) денежные знаки в виде банкнот, казначейских билетов, находящиеся в обращении и являющиеся законным платежным средством в соответствующем государстве или группе стран; б) средства на счетах в денежных единицах иностранных государств и международных денежных или расчетных единицах. Указанные выше 3 характеристики российской валюты, применимы и к иностранной валюте.</w:t>
      </w:r>
    </w:p>
    <w:p w:rsidR="00FB15CE" w:rsidRDefault="00FB15CE">
      <w:pPr>
        <w:ind w:firstLine="720"/>
        <w:jc w:val="both"/>
        <w:rPr>
          <w:sz w:val="28"/>
          <w:szCs w:val="28"/>
        </w:rPr>
      </w:pPr>
      <w:r>
        <w:rPr>
          <w:sz w:val="28"/>
          <w:szCs w:val="28"/>
        </w:rPr>
        <w:t xml:space="preserve">Более широким является понятие </w:t>
      </w:r>
      <w:r>
        <w:rPr>
          <w:sz w:val="28"/>
          <w:szCs w:val="28"/>
          <w:u w:val="single"/>
        </w:rPr>
        <w:t>«валютные ценности»</w:t>
      </w:r>
      <w:r>
        <w:rPr>
          <w:sz w:val="28"/>
          <w:szCs w:val="28"/>
        </w:rPr>
        <w:t>, в содержание которого входят: иностранная валюта; ценные бумаги в иностранной валюте; драгоценные металлы (золото, серебро, платина и металлы платиновой группы); природные драгоценные камни. К последним двум группам не относятся ювелирные изделия и лом этих изделий.</w:t>
      </w:r>
    </w:p>
    <w:p w:rsidR="00FB15CE" w:rsidRDefault="00FB15CE">
      <w:pPr>
        <w:ind w:firstLine="720"/>
        <w:jc w:val="both"/>
        <w:rPr>
          <w:sz w:val="28"/>
          <w:szCs w:val="28"/>
        </w:rPr>
      </w:pPr>
      <w:r>
        <w:rPr>
          <w:sz w:val="28"/>
          <w:szCs w:val="28"/>
        </w:rPr>
        <w:t xml:space="preserve">Закон «О валютном регулировании и валютном контроле» формулирует понятия </w:t>
      </w:r>
      <w:r>
        <w:rPr>
          <w:sz w:val="28"/>
          <w:szCs w:val="28"/>
          <w:u w:val="single"/>
        </w:rPr>
        <w:t>«резидент»</w:t>
      </w:r>
      <w:r>
        <w:rPr>
          <w:sz w:val="28"/>
          <w:szCs w:val="28"/>
        </w:rPr>
        <w:t xml:space="preserve"> и </w:t>
      </w:r>
      <w:r>
        <w:rPr>
          <w:sz w:val="28"/>
          <w:szCs w:val="28"/>
          <w:u w:val="single"/>
        </w:rPr>
        <w:t>«нерезидент»</w:t>
      </w:r>
      <w:r>
        <w:rPr>
          <w:sz w:val="28"/>
          <w:szCs w:val="28"/>
        </w:rPr>
        <w:t>, тем самым, разделяя всех действующих на валютном рынке субъектов на 2 категории. Такое разделение диктуется потребностями проведения внешнеэкономических операций страны и отделение последних от операций внутрихозяйственных. Резидентами по российскому законодательству являются: физические лица, имеющие постоянное место жительства в РФ; юридические лица, созданные в соответствии с законодательством РФ, с местонахождением в РФ; предприятия и организации, не являющиеся юридическими лицами, созданные в соответствии с законодательством РФ, с местонахождением в РФ; дипломатические и иные официальные представительства РФ за ее пределами; находящиеся за пределами РФ филиалы и представительства резидентов. Нерезидентами являются: физические лица. Имеющие постоянное место жительства за пределами РФ; юридические лица, созданные в соответствии с законодательством иностранных государств, с местонахождением за пределами РФ; предприятия и организации, не являющиеся юридическими лицами, созданные в соответствии с законодательством иностранных государств, с местонахождением за пределами РФ; находящиеся в РФ дипломатические и иные официальные представительства, а также международные организации, их филиалы и представительства; находящиеся в РФ филиалы и представительства нерезидентов.</w:t>
      </w:r>
    </w:p>
    <w:p w:rsidR="00FB15CE" w:rsidRDefault="00FB15CE">
      <w:pPr>
        <w:ind w:firstLine="720"/>
        <w:jc w:val="both"/>
        <w:rPr>
          <w:sz w:val="28"/>
          <w:szCs w:val="28"/>
        </w:rPr>
      </w:pPr>
      <w:r>
        <w:rPr>
          <w:sz w:val="28"/>
          <w:szCs w:val="28"/>
        </w:rPr>
        <w:t>Таким образом, основными критериями разделения субъектов, действующих на валютном рынке РФ, являются: создание их в соответствии с законодательством РФ или иностранного государства; их фактическое местонахождение или местожительство. В сфере валютных отношений резиденты и нерезиденты наделяются различными правами и обязанностями, в их отношении по-разному осуществляется валютный контроль.</w:t>
      </w:r>
    </w:p>
    <w:p w:rsidR="00FB15CE" w:rsidRDefault="00FB15CE">
      <w:pPr>
        <w:ind w:firstLine="720"/>
        <w:jc w:val="both"/>
        <w:rPr>
          <w:sz w:val="28"/>
          <w:szCs w:val="28"/>
        </w:rPr>
      </w:pPr>
      <w:r>
        <w:rPr>
          <w:sz w:val="28"/>
          <w:szCs w:val="28"/>
        </w:rPr>
        <w:t xml:space="preserve">Закон «О валютном регулировании и валютном контроле» также дает определение понятия </w:t>
      </w:r>
      <w:r>
        <w:rPr>
          <w:sz w:val="28"/>
          <w:szCs w:val="28"/>
          <w:u w:val="single"/>
        </w:rPr>
        <w:t>«уполномоченные банки»</w:t>
      </w:r>
      <w:r>
        <w:rPr>
          <w:sz w:val="28"/>
          <w:szCs w:val="28"/>
        </w:rPr>
        <w:t>, под которыми подразумеваются банки и иные кредитные учреждения, получившие лицензию Центрального Банка РФ на проведение валютных операций. Покупка и продажа иностранной валюты в РФ проводится только через уполномоченные банки, как непосредственно, так и через валютные биржи. Сделки купли-продажи иностранной валюты, заключенные в нарушение этих норм, являются недействительными.</w:t>
      </w:r>
    </w:p>
    <w:p w:rsidR="00FB15CE" w:rsidRDefault="00FB15CE">
      <w:pPr>
        <w:ind w:firstLine="720"/>
        <w:jc w:val="both"/>
        <w:rPr>
          <w:sz w:val="28"/>
          <w:szCs w:val="28"/>
        </w:rPr>
      </w:pPr>
      <w:r>
        <w:rPr>
          <w:sz w:val="28"/>
          <w:szCs w:val="28"/>
        </w:rPr>
        <w:t>Для правильного понимания валютных правоотношений принципиальное значение имеет законодательное разграничение валютных операций на 2 основных вида: текущие валютные операции; валютные операции, связанные с движением капитала. Разделение валютных операций на 2 типа – дань их влиянию на экономические процессы.</w:t>
      </w:r>
    </w:p>
    <w:p w:rsidR="00FB15CE" w:rsidRDefault="00FB15CE">
      <w:pPr>
        <w:ind w:firstLine="720"/>
        <w:jc w:val="both"/>
        <w:rPr>
          <w:sz w:val="28"/>
          <w:szCs w:val="28"/>
        </w:rPr>
      </w:pPr>
      <w:r>
        <w:rPr>
          <w:sz w:val="28"/>
          <w:szCs w:val="28"/>
          <w:u w:val="single"/>
        </w:rPr>
        <w:t>Текущие валютные операции</w:t>
      </w:r>
      <w:r>
        <w:rPr>
          <w:sz w:val="28"/>
          <w:szCs w:val="28"/>
        </w:rPr>
        <w:t xml:space="preserve"> направлены на обслуживание экспортно-импортных торговых операций (в т.ч. на их оплату, включая получение кредитов для этих целей), а также на обеспечение перемещения валютных средств граждан, работающих или проживающих за рубежом (пенсии, доходы, переводы и т.д.). </w:t>
      </w:r>
      <w:r>
        <w:rPr>
          <w:sz w:val="28"/>
          <w:szCs w:val="28"/>
          <w:u w:val="single"/>
        </w:rPr>
        <w:t>Валютные операции, связанные с движением капитала</w:t>
      </w:r>
      <w:r>
        <w:rPr>
          <w:sz w:val="28"/>
          <w:szCs w:val="28"/>
        </w:rPr>
        <w:t>, означают вложение российского капитала в иностранную экономику, а также ввоз иностранного капитала в страну. И тот, и другой процесс (отток капитала или установление иностранного контроля за отдельными предприятиями) могут иметь негативные последствия для отечественной экономики. Как следствие этого, резиденты осуществляют текущие валютные операции без ограничений, а операции связанные с движением капиталов подлежат жесткому контролю со стороны государства, в лице соответствующих органов.</w:t>
      </w:r>
    </w:p>
    <w:p w:rsidR="00FB15CE" w:rsidRDefault="00FB15CE">
      <w:pPr>
        <w:ind w:firstLine="720"/>
        <w:jc w:val="both"/>
        <w:rPr>
          <w:sz w:val="28"/>
          <w:szCs w:val="28"/>
        </w:rPr>
      </w:pPr>
      <w:r>
        <w:rPr>
          <w:sz w:val="28"/>
          <w:szCs w:val="28"/>
        </w:rPr>
        <w:t xml:space="preserve">Под </w:t>
      </w:r>
      <w:r>
        <w:rPr>
          <w:sz w:val="28"/>
          <w:szCs w:val="28"/>
          <w:u w:val="single"/>
        </w:rPr>
        <w:t>валютными ограничениями</w:t>
      </w:r>
      <w:r>
        <w:rPr>
          <w:sz w:val="28"/>
          <w:szCs w:val="28"/>
        </w:rPr>
        <w:t xml:space="preserve"> подразумеваются законодательное или административное запрещение, лимитирование или иная регламентация операций резидентов и нерезидентов с валютой и другими валютными ценностями. Валютные ограничения способствуют перераспределению валютных ценностей в пользу государства или крупных предпринимателей, а их введение может диктоваться как политическими, так и экономическими мотивами. Валютные ограничения известны законодательству большинства экономически развитых стран и включают в себя: централизацию валютных операций в центральных (национальных) банках; лицензирование валютных операций; право на полное или частичное блокирование валютных счетов; обязательную продажу валютной выручки экспортеров (полностью или частично) центральному или уполномоченным банкам; ограничение обратимости валют и т.д.</w:t>
      </w:r>
    </w:p>
    <w:p w:rsidR="00FB15CE" w:rsidRDefault="00FB15CE">
      <w:pPr>
        <w:ind w:firstLine="720"/>
        <w:jc w:val="both"/>
        <w:rPr>
          <w:sz w:val="28"/>
          <w:szCs w:val="28"/>
        </w:rPr>
      </w:pPr>
      <w:r>
        <w:rPr>
          <w:sz w:val="28"/>
          <w:szCs w:val="28"/>
        </w:rPr>
        <w:t>Законодательные ограничения операций с валютными ценностями – одна из форм валютной политики РФ, которая может применяться как к текущим операциям, так и к операциям связанным с движением капитала. Одним из объектов валютных ограничений является валютные права предприятий и населения. Деятельность предприятий-экспортеров регулируется с помощью экспортных лицензий, экспортно-импортных тарифов, обязательной продажи части валютной выручки на внутреннем рынке РФ. Российские предприятия могут покупать ценные бумаги и получать кредиты за рубежом только с разрешения ЦБ РФ.</w:t>
      </w:r>
    </w:p>
    <w:p w:rsidR="00FB15CE" w:rsidRDefault="00FB15CE">
      <w:pPr>
        <w:ind w:firstLine="720"/>
        <w:jc w:val="both"/>
        <w:rPr>
          <w:sz w:val="28"/>
          <w:szCs w:val="28"/>
        </w:rPr>
      </w:pPr>
      <w:r>
        <w:rPr>
          <w:sz w:val="28"/>
          <w:szCs w:val="28"/>
        </w:rPr>
        <w:t>В отношении физических лиц валютным ограничением является запрет вывоза, ввоза и пересылки за границу гражданами РФ наличной национальной валюты на сумму свыше определенной суммы. Другим важнейшим валютным ограничением является официальный запрет обращения и использования иностранных валют в качестве платежного средства на территории РФ.</w:t>
      </w:r>
    </w:p>
    <w:p w:rsidR="00FB15CE" w:rsidRDefault="00FB15CE">
      <w:pPr>
        <w:ind w:firstLine="720"/>
        <w:jc w:val="both"/>
        <w:rPr>
          <w:sz w:val="28"/>
          <w:szCs w:val="28"/>
        </w:rPr>
      </w:pPr>
      <w:r>
        <w:rPr>
          <w:sz w:val="28"/>
          <w:szCs w:val="28"/>
        </w:rPr>
        <w:t>В качестве смягчающего момента в валютной политике РФ можно назвать предоставленное гражданам право открывать валютные счета в банках, а также продавать и покупать валюту в обменных пунктах уполномоченных банков. Нерезидентам разрешено открывать счета в рублях РФ в российских банках, что является формой допущения нерезидентов на внутренний валютный рынок РФ.</w:t>
      </w:r>
    </w:p>
    <w:p w:rsidR="00FB15CE" w:rsidRDefault="00FB15CE">
      <w:pPr>
        <w:rPr>
          <w:sz w:val="28"/>
          <w:szCs w:val="28"/>
        </w:rPr>
      </w:pPr>
    </w:p>
    <w:p w:rsidR="00FB15CE" w:rsidRDefault="00FB15CE">
      <w:pPr>
        <w:rPr>
          <w:b/>
          <w:bCs/>
          <w:sz w:val="28"/>
          <w:szCs w:val="28"/>
        </w:rPr>
      </w:pPr>
      <w:r>
        <w:rPr>
          <w:b/>
          <w:bCs/>
          <w:sz w:val="28"/>
          <w:szCs w:val="28"/>
        </w:rPr>
        <w:t>1.3 Валютный курс и порядок его определения</w:t>
      </w:r>
    </w:p>
    <w:p w:rsidR="00FB15CE" w:rsidRDefault="00FB15CE">
      <w:pPr>
        <w:jc w:val="both"/>
        <w:rPr>
          <w:sz w:val="28"/>
          <w:szCs w:val="28"/>
        </w:rPr>
      </w:pPr>
    </w:p>
    <w:p w:rsidR="00FB15CE" w:rsidRDefault="00FB15CE">
      <w:pPr>
        <w:jc w:val="both"/>
        <w:rPr>
          <w:sz w:val="28"/>
          <w:szCs w:val="28"/>
        </w:rPr>
      </w:pPr>
      <w:r>
        <w:rPr>
          <w:sz w:val="28"/>
          <w:szCs w:val="28"/>
        </w:rPr>
        <w:tab/>
        <w:t>В соответствии с Указом Президента РФ от 14.06.92 г. № 629 «О частичном изменении порядка обязательной продажи части валютной выручки и взимания экспортных пошлин» Банк России осуществляет установление официальных курсов иностранных валют к рублю РФ, используемых при расчетах доходов и расходов государственного бюджета, для всех видов платежно-расчетных отношений государства с предприятиями, объединениями, организациями и гражданами, а также для целей налогообложения и бухгалтерского учета без обязательства осуществлять операции купли-продажи иностранных валют по указанным курсам.</w:t>
      </w:r>
    </w:p>
    <w:p w:rsidR="00FB15CE" w:rsidRDefault="00FB15CE">
      <w:pPr>
        <w:ind w:firstLine="720"/>
        <w:jc w:val="both"/>
        <w:rPr>
          <w:sz w:val="28"/>
          <w:szCs w:val="28"/>
        </w:rPr>
      </w:pPr>
      <w:r>
        <w:rPr>
          <w:sz w:val="28"/>
          <w:szCs w:val="28"/>
        </w:rPr>
        <w:t>Банк России каждый рабочий день не позднее 12 часов по московскому времени устанавливает официальные курсы валют стран, являющихся ведущими внешнеэкономическими партнерами РФ, к российскому рублю. При этом:</w:t>
      </w:r>
    </w:p>
    <w:p w:rsidR="00FB15CE" w:rsidRDefault="00FB15CE">
      <w:pPr>
        <w:jc w:val="both"/>
        <w:rPr>
          <w:sz w:val="28"/>
          <w:szCs w:val="28"/>
        </w:rPr>
      </w:pPr>
      <w:r>
        <w:rPr>
          <w:sz w:val="28"/>
          <w:szCs w:val="28"/>
        </w:rPr>
        <w:t>- официальный курс доллара США к российскому рублю устанавливается на основе котировок текущего рабочего дня биржевого и внебиржевого валютных рынков по операциям «$</w:t>
      </w:r>
      <w:r>
        <w:rPr>
          <w:sz w:val="28"/>
          <w:szCs w:val="28"/>
          <w:lang w:val="en-US"/>
        </w:rPr>
        <w:t>US</w:t>
      </w:r>
      <w:r>
        <w:rPr>
          <w:sz w:val="28"/>
          <w:szCs w:val="28"/>
        </w:rPr>
        <w:t>-рубль РФ»;</w:t>
      </w:r>
    </w:p>
    <w:p w:rsidR="00FB15CE" w:rsidRDefault="00FB15CE">
      <w:pPr>
        <w:jc w:val="both"/>
        <w:rPr>
          <w:sz w:val="28"/>
          <w:szCs w:val="28"/>
        </w:rPr>
      </w:pPr>
      <w:r>
        <w:rPr>
          <w:sz w:val="28"/>
          <w:szCs w:val="28"/>
        </w:rPr>
        <w:t>- официальные курсы других свободно конвертируемых валют к рублю РФ рассчитываются и устанавливаются на основе официального курса $</w:t>
      </w:r>
      <w:r>
        <w:rPr>
          <w:sz w:val="28"/>
          <w:szCs w:val="28"/>
          <w:lang w:val="en-US"/>
        </w:rPr>
        <w:t>US</w:t>
      </w:r>
      <w:r>
        <w:rPr>
          <w:sz w:val="28"/>
          <w:szCs w:val="28"/>
        </w:rPr>
        <w:t xml:space="preserve"> к рублю, устанавливаемого ЦБ РФ, и курсов данных валют к $</w:t>
      </w:r>
      <w:r>
        <w:rPr>
          <w:sz w:val="28"/>
          <w:szCs w:val="28"/>
          <w:lang w:val="en-US"/>
        </w:rPr>
        <w:t>US</w:t>
      </w:r>
      <w:r>
        <w:rPr>
          <w:sz w:val="28"/>
          <w:szCs w:val="28"/>
        </w:rPr>
        <w:t xml:space="preserve"> на международных валютных рынках на 10 часов по московскому времени текущего рабочего дня;</w:t>
      </w:r>
    </w:p>
    <w:p w:rsidR="00FB15CE" w:rsidRDefault="00FB15CE">
      <w:pPr>
        <w:jc w:val="both"/>
        <w:rPr>
          <w:sz w:val="28"/>
          <w:szCs w:val="28"/>
        </w:rPr>
      </w:pPr>
      <w:r>
        <w:rPr>
          <w:sz w:val="28"/>
          <w:szCs w:val="28"/>
        </w:rPr>
        <w:t>- официальные курсы валют с ограниченной конверсией к рублю РФ устанавливаются на основе официального курса $</w:t>
      </w:r>
      <w:r>
        <w:rPr>
          <w:sz w:val="28"/>
          <w:szCs w:val="28"/>
          <w:lang w:val="en-US"/>
        </w:rPr>
        <w:t>US</w:t>
      </w:r>
      <w:r>
        <w:rPr>
          <w:sz w:val="28"/>
          <w:szCs w:val="28"/>
        </w:rPr>
        <w:t xml:space="preserve"> к рублю, устанавливаемого ЦБ РФ и котировок данных валют к $</w:t>
      </w:r>
      <w:r>
        <w:rPr>
          <w:sz w:val="28"/>
          <w:szCs w:val="28"/>
          <w:lang w:val="en-US"/>
        </w:rPr>
        <w:t>US</w:t>
      </w:r>
      <w:r>
        <w:rPr>
          <w:sz w:val="28"/>
          <w:szCs w:val="28"/>
        </w:rPr>
        <w:t xml:space="preserve"> на московском биржевом и внебиржевом валютных рынках;</w:t>
      </w:r>
    </w:p>
    <w:p w:rsidR="00FB15CE" w:rsidRDefault="00FB15CE">
      <w:pPr>
        <w:jc w:val="both"/>
        <w:rPr>
          <w:sz w:val="28"/>
          <w:szCs w:val="28"/>
        </w:rPr>
      </w:pPr>
      <w:r>
        <w:rPr>
          <w:sz w:val="28"/>
          <w:szCs w:val="28"/>
        </w:rPr>
        <w:t>- официальные курсы валют стран, являющихся ведущими внешнеэкономическими партнерами РФ, к российскому рублю вводятся в действие приказом Банка России по установленной форме. Указанные курсы вступают в силу в календарный день, следующий за днем подписания приказа, и действуют в отношении каждой из валют до вступления в силу следующего официального курса данной валюты, если иное не определено нормативными актами ЦБ РФ.</w:t>
      </w:r>
    </w:p>
    <w:p w:rsidR="00FB15CE" w:rsidRDefault="00FB15CE">
      <w:pPr>
        <w:rPr>
          <w:sz w:val="28"/>
          <w:szCs w:val="28"/>
        </w:rPr>
      </w:pPr>
    </w:p>
    <w:p w:rsidR="00FB15CE" w:rsidRDefault="00FB15CE">
      <w:pPr>
        <w:rPr>
          <w:b/>
          <w:bCs/>
          <w:sz w:val="28"/>
          <w:szCs w:val="28"/>
        </w:rPr>
      </w:pPr>
      <w:r>
        <w:rPr>
          <w:b/>
          <w:bCs/>
          <w:sz w:val="28"/>
          <w:szCs w:val="28"/>
        </w:rPr>
        <w:t>1.4 Правовое регулирование валютного контроля</w:t>
      </w:r>
    </w:p>
    <w:p w:rsidR="00FB15CE" w:rsidRDefault="00FB15CE">
      <w:pPr>
        <w:rPr>
          <w:sz w:val="28"/>
          <w:szCs w:val="28"/>
        </w:rPr>
      </w:pPr>
    </w:p>
    <w:p w:rsidR="00FB15CE" w:rsidRDefault="00FB15CE">
      <w:pPr>
        <w:pStyle w:val="31"/>
        <w:rPr>
          <w:sz w:val="28"/>
          <w:szCs w:val="28"/>
        </w:rPr>
      </w:pPr>
      <w:r>
        <w:rPr>
          <w:sz w:val="28"/>
          <w:szCs w:val="28"/>
        </w:rPr>
        <w:tab/>
        <w:t>Основы правового регулирования валютного контроля определены разделом 3 Закона РФ «О валютном регулировании и валютном контроле». Согласно статьи 10 названного Закона целью валютного контроля является обеспечение соблюдения валютного законодательства при осуществлении валютных операций.</w:t>
      </w:r>
    </w:p>
    <w:p w:rsidR="00FB15CE" w:rsidRDefault="00FB15CE">
      <w:pPr>
        <w:ind w:firstLine="720"/>
        <w:jc w:val="both"/>
        <w:rPr>
          <w:sz w:val="28"/>
          <w:szCs w:val="28"/>
        </w:rPr>
      </w:pPr>
      <w:r>
        <w:rPr>
          <w:sz w:val="28"/>
          <w:szCs w:val="28"/>
        </w:rPr>
        <w:t>Основными направлениями валютного контроля являются: проверка соответствия проводимых валютных операций законодательству и наличия необходимых лицензий и разрешений; проверка выполнения резидентами обязательств в иностранной валюте перед государством и обязательств по продаже иностранной валюты на внутреннем рынке РФ; проверка обоснованности платежей в иностранной валюте; проверка полноты и объективности учета и отчетности по валютным операциям, а также по операциям нерезидентов в валюте РФ. Названные функции позволяют предположить, что кроме проверки законности валютных операций, валютный контроль должен осуществляться и за их целесообразностью.</w:t>
      </w:r>
    </w:p>
    <w:p w:rsidR="00FB15CE" w:rsidRDefault="00FB15CE">
      <w:pPr>
        <w:ind w:firstLine="720"/>
        <w:jc w:val="both"/>
        <w:rPr>
          <w:sz w:val="28"/>
          <w:szCs w:val="28"/>
        </w:rPr>
      </w:pPr>
      <w:r>
        <w:rPr>
          <w:sz w:val="28"/>
          <w:szCs w:val="28"/>
        </w:rPr>
        <w:t>Валютный контроль в РФ осуществляется двумя видами субъектов: органами валютного контроля и агентами валютного контроля. С точки зрения полномочий одно из главных отличий органов валютного контроля от агентов заключается в праве первых издавать нормативные акты, обязательные для резидентов и нерезидентов в РФ. Органами валютного контроля согласно Закону являются ЦБ РФ и Правительство РФ, а в качестве агентов валютного контроля определены уполномоченные банки.</w:t>
      </w:r>
    </w:p>
    <w:p w:rsidR="00FB15CE" w:rsidRDefault="00FB15CE">
      <w:pPr>
        <w:jc w:val="both"/>
        <w:rPr>
          <w:i/>
          <w:iCs/>
          <w:sz w:val="28"/>
          <w:szCs w:val="28"/>
        </w:rPr>
      </w:pPr>
      <w:r>
        <w:rPr>
          <w:sz w:val="28"/>
          <w:szCs w:val="28"/>
        </w:rPr>
        <w:tab/>
        <w:t>В соответствии с Законом РФ «О валютном регулировании и валютном контроле» важнейшим органом, осуществляющим широкие управленческие функции в сфере валютных отношений является Центральный банк РФ, который имеет право: определять сферу и порядок обращения в РФ иностранной валюты и ценных бумаг в иностранной валюте; издавать нормативные акты, обязательные для всех субъектов валютных отношений; устанавливать правила проведения операций с иностранной валютой, с валютой РФ и ценными бумаги в иностранной валюте и валюте РФ; устанавливать общие правила выдачи лицензий банкам и иным кредитным учреждениям на осуществление валютных операций и выдавать такие лицензии; устанавливать единые формы учета, отчетности, порядок и сроки их предоставления; осуществлять иные регулирующие полномочия.</w:t>
      </w:r>
    </w:p>
    <w:p w:rsidR="00FB15CE" w:rsidRDefault="00FB15CE">
      <w:pPr>
        <w:pStyle w:val="21"/>
        <w:spacing w:after="0" w:line="240" w:lineRule="auto"/>
        <w:ind w:firstLine="720"/>
        <w:jc w:val="both"/>
        <w:rPr>
          <w:sz w:val="28"/>
          <w:szCs w:val="28"/>
        </w:rPr>
      </w:pPr>
      <w:r>
        <w:rPr>
          <w:sz w:val="28"/>
          <w:szCs w:val="28"/>
        </w:rPr>
        <w:t>Помимо ЦБ РФ к органу валютного контроля относится Правительство РФ в лице таких органов, как Министерство финансов РФ, Министерство РФ по налогам и сборам, Государственного таможенного комитета РФ, правоохранительных органов. До 17 мая 2000 г. особую роль играла Федеральная служба РФ по валютному и экспортному контролю, которая была упразднена в соответствии с Указом Президента РФ «О структуре федеральных органов исполнительной власти» от 17.05.2000 г. № 867. Ее функции были переданы Министерству финансов РФ и, вновь образованному, Министерству экономического развития и торговли РФ.</w:t>
      </w:r>
    </w:p>
    <w:p w:rsidR="00FB15CE" w:rsidRDefault="00FB15CE">
      <w:pPr>
        <w:jc w:val="both"/>
        <w:rPr>
          <w:sz w:val="28"/>
          <w:szCs w:val="28"/>
        </w:rPr>
      </w:pPr>
      <w:r>
        <w:rPr>
          <w:sz w:val="28"/>
          <w:szCs w:val="28"/>
        </w:rPr>
        <w:tab/>
        <w:t>В 1999 году ЦБ РФ и ГТК РФ издали Инструкцию № 86-И от 13.10.99 г. «О порядке осуществления валютного контроля за поступлением в РФ валютной выручки от экспорта товаров». Основная задача, которая решается названными нормативными документами – пресечь утечку капиталов из РФ за границу. Согласно инструкции предприятие-экспортер (резидент РФ заключивший контракт на экспорт товаров) обязан предъявить контракт в уполномоченный банк, где находится валютный счет экспортера, на который должна поступить выручка от экспорта. Банк оформляет паспорт сделки – формализованный документ, содержащий сведения о внешнеэкономической сделке, необходимые для валютного контроля. Паспорт, подписанный уполномоченным банком и экспортером, предоставляется в таможенные органы вместе с другими документами для оформления экспорта товара. Уполномоченный банк принимает на себя функции агента валютного контроля за поступлением валютной выручки по данному контракту.</w:t>
      </w:r>
    </w:p>
    <w:p w:rsidR="00FB15CE" w:rsidRDefault="00FB15CE">
      <w:pPr>
        <w:rPr>
          <w:sz w:val="28"/>
          <w:szCs w:val="28"/>
        </w:rPr>
      </w:pPr>
    </w:p>
    <w:p w:rsidR="00FB15CE" w:rsidRDefault="00FB15CE">
      <w:pPr>
        <w:rPr>
          <w:b/>
          <w:bCs/>
          <w:sz w:val="28"/>
          <w:szCs w:val="28"/>
        </w:rPr>
      </w:pPr>
      <w:r>
        <w:rPr>
          <w:b/>
          <w:bCs/>
          <w:sz w:val="28"/>
          <w:szCs w:val="28"/>
        </w:rPr>
        <w:t>1.5 Ответственность за нарушение правил о валютных операциях</w:t>
      </w:r>
    </w:p>
    <w:p w:rsidR="00FB15CE" w:rsidRDefault="00FB15CE">
      <w:pPr>
        <w:rPr>
          <w:sz w:val="28"/>
          <w:szCs w:val="28"/>
        </w:rPr>
      </w:pPr>
    </w:p>
    <w:p w:rsidR="00FB15CE" w:rsidRDefault="00FB15CE">
      <w:pPr>
        <w:ind w:firstLine="720"/>
        <w:jc w:val="both"/>
        <w:rPr>
          <w:sz w:val="28"/>
          <w:szCs w:val="28"/>
        </w:rPr>
      </w:pPr>
      <w:r>
        <w:rPr>
          <w:sz w:val="28"/>
          <w:szCs w:val="28"/>
        </w:rPr>
        <w:t>Основные виды ответственности установлены пунктом 1 статьи 14 Закона РФ «О валютном регулировании и валютном контроле»: а) взыскание в доход государства всего полученного по недействительным в силу настоящего Закона сделкам; б) взыскание в доход государства необоснованно приобретенного не по сделке, а в результате незаконных действий.</w:t>
      </w:r>
    </w:p>
    <w:p w:rsidR="00FB15CE" w:rsidRDefault="00FB15CE">
      <w:pPr>
        <w:jc w:val="both"/>
        <w:rPr>
          <w:sz w:val="28"/>
          <w:szCs w:val="28"/>
        </w:rPr>
      </w:pPr>
      <w:r>
        <w:rPr>
          <w:sz w:val="28"/>
          <w:szCs w:val="28"/>
        </w:rPr>
        <w:tab/>
        <w:t>Резиденты и нерезиденты за отсутствие учета валютных операций; ведение учета валютных операций с нарушением установленного порядка; непредставление или несвоевременное предоставление органам или агентам валютного контроля документов или информации несут ответственность в виде штрафов в пределах суммы, которая либо не была учтена; либо была учтена ненадлежащим образом; либо по которой документы и информация не были предоставлены в установленном порядке.</w:t>
      </w:r>
    </w:p>
    <w:p w:rsidR="00FB15CE" w:rsidRDefault="00FB15CE">
      <w:pPr>
        <w:jc w:val="both"/>
        <w:rPr>
          <w:sz w:val="28"/>
          <w:szCs w:val="28"/>
        </w:rPr>
      </w:pPr>
      <w:r>
        <w:rPr>
          <w:sz w:val="28"/>
          <w:szCs w:val="28"/>
        </w:rPr>
        <w:tab/>
        <w:t>При повторном нарушении указанных положений, а также за невыполнение или ненадлежащие выполнение предписаний органов валютного контроля резиденты и нерезиденты несут ответственность в виде: а) взыскания в доход государства сумм, указанных в пункте 1 статьи 14 Закона, а также штрафов в пределах пятикратного размера этих сумм, осуществляемого ЦБ РФ; б) приостановление действия или лишения резидентов или нерезидентов выданных органами валютного контроля лицензий и разрешений; в) других санкций, предусмотренных законодательством РФ.</w:t>
      </w:r>
    </w:p>
    <w:p w:rsidR="00FB15CE" w:rsidRDefault="00FB15CE">
      <w:pPr>
        <w:jc w:val="both"/>
        <w:rPr>
          <w:sz w:val="28"/>
          <w:szCs w:val="28"/>
        </w:rPr>
      </w:pPr>
      <w:r>
        <w:rPr>
          <w:sz w:val="28"/>
          <w:szCs w:val="28"/>
        </w:rPr>
        <w:tab/>
        <w:t>Должностные лица юридических лиц-резидентов и юридических лиц-нерезидентов, виновные в нарушении валютного законодательства, несут уголовную, административную и гражданско-правовую ответственность.</w:t>
      </w:r>
    </w:p>
    <w:p w:rsidR="00FB15CE" w:rsidRDefault="00FB15CE">
      <w:pPr>
        <w:jc w:val="both"/>
        <w:rPr>
          <w:sz w:val="28"/>
          <w:szCs w:val="28"/>
        </w:rPr>
      </w:pPr>
      <w:r>
        <w:rPr>
          <w:sz w:val="28"/>
          <w:szCs w:val="28"/>
        </w:rPr>
        <w:tab/>
        <w:t>Взыскание штрафов и иных санкций производится органами валютного контроля с юридических лиц в бесспорном порядке, а с физических лиц – в судебном.</w:t>
      </w:r>
    </w:p>
    <w:p w:rsidR="00FB15CE" w:rsidRDefault="00FB15CE">
      <w:pPr>
        <w:jc w:val="both"/>
        <w:rPr>
          <w:sz w:val="28"/>
          <w:szCs w:val="28"/>
        </w:rPr>
      </w:pPr>
      <w:r>
        <w:rPr>
          <w:sz w:val="28"/>
          <w:szCs w:val="28"/>
        </w:rPr>
        <w:tab/>
        <w:t>В целях усиления валютного контроля за поступлением валютной выручки на счета резидентов Указом Президента РФ от 21.11.1995 г. «О первоочередных мерах по усилению системы валютного контроля в РФ» был установлен порядок, в соответствии с которым расчеты по внешнеэкономическим сделкам резидентов, предусматривающим ввоз товаров на таможенную территорию РФ или вывоз товаров с названной таможенной территории, осуществляется только через счета резидентов, заключивших или от имени которых заключены сделки с нерезидентами. Импортеры-резиденты обязаны ввезти товары в РФ, либо обеспечить возврат (в течении 180 дней) средств, ранее переведенных в оплату товаров. В случае невыполнения или ненадлежащего выполнения этих предписаний импортеры-резиденты несут ответственность в виде штрафа в размере суммы, эквивалентной сумме иностранной валюты, ранее переведенной в оплату товаров.</w:t>
      </w:r>
    </w:p>
    <w:p w:rsidR="00FB15CE" w:rsidRDefault="00FB15CE">
      <w:pPr>
        <w:jc w:val="both"/>
        <w:rPr>
          <w:sz w:val="28"/>
          <w:szCs w:val="28"/>
        </w:rPr>
      </w:pPr>
      <w:r>
        <w:tab/>
      </w:r>
      <w:r>
        <w:rPr>
          <w:sz w:val="28"/>
          <w:szCs w:val="28"/>
        </w:rPr>
        <w:t>Уголовная ответственность предусмотрена УК РФ за: незаконный оборот драгоценных металлов, природных драгоценных камней или жемчуга (ст.191); нарушение правил сдачи государству драгоценных металлов и драгоценных камней (ст.192); невозвращение из-за границы средств в иностранной валюте (ст.193).</w:t>
      </w:r>
    </w:p>
    <w:p w:rsidR="00FB15CE" w:rsidRDefault="00FB15CE">
      <w:pPr>
        <w:jc w:val="both"/>
      </w:pPr>
    </w:p>
    <w:p w:rsidR="00FB15CE" w:rsidRDefault="00FB15CE">
      <w:pPr>
        <w:pStyle w:val="4"/>
      </w:pPr>
      <w:r>
        <w:t>Заключение</w:t>
      </w:r>
    </w:p>
    <w:p w:rsidR="00FB15CE" w:rsidRDefault="00FB15CE">
      <w:pPr>
        <w:jc w:val="both"/>
        <w:rPr>
          <w:sz w:val="28"/>
          <w:szCs w:val="28"/>
        </w:rPr>
      </w:pPr>
      <w:r>
        <w:rPr>
          <w:sz w:val="28"/>
          <w:szCs w:val="28"/>
        </w:rPr>
        <w:tab/>
        <w:t>В процессе создания эффективно работающего и контролируемого внутреннего валютного рынка необходимо соблюдение следующих основных принципов:</w:t>
      </w:r>
    </w:p>
    <w:p w:rsidR="00FB15CE" w:rsidRDefault="00FB15CE">
      <w:pPr>
        <w:pStyle w:val="a8"/>
        <w:spacing w:line="240" w:lineRule="auto"/>
        <w:rPr>
          <w:sz w:val="28"/>
          <w:szCs w:val="28"/>
        </w:rPr>
      </w:pPr>
      <w:r>
        <w:rPr>
          <w:sz w:val="28"/>
          <w:szCs w:val="28"/>
        </w:rPr>
        <w:tab/>
        <w:t>Во-первых, с одной стороны валютное регулирование, являясь частью денежно-кредитной политики государства, должно своими методами способствовать целям экономического развития страны, а с другой стороны, очевидно, что использование средств и методов валютного регулирования не может служить панацеей от всех бед, так как подчиняется макроэкономическим ориентирам экономической политики государства.</w:t>
      </w:r>
    </w:p>
    <w:p w:rsidR="00FB15CE" w:rsidRDefault="00FB15CE">
      <w:pPr>
        <w:pStyle w:val="a8"/>
        <w:spacing w:line="240" w:lineRule="auto"/>
        <w:rPr>
          <w:sz w:val="28"/>
          <w:szCs w:val="28"/>
        </w:rPr>
      </w:pPr>
      <w:r>
        <w:rPr>
          <w:sz w:val="28"/>
          <w:szCs w:val="28"/>
        </w:rPr>
        <w:tab/>
        <w:t>Во-вторых, валютная политика государства, оказывающая значительное влияние на экономическую жизнь общества, должна отличаться последовательностью, логичностью, стабильностью и взвешенностью. Субъекты хозяйственной деятельности очень чутко реагируют на любые изменения в области валютного регулирования, поэтому любые непродуманные действия в этой сфере, могут привести к разрушительным последствиям, что подтверждает мировой опыт.</w:t>
      </w:r>
    </w:p>
    <w:p w:rsidR="00FB15CE" w:rsidRDefault="00FB15CE">
      <w:pPr>
        <w:pStyle w:val="a8"/>
        <w:spacing w:line="240" w:lineRule="auto"/>
        <w:rPr>
          <w:sz w:val="28"/>
          <w:szCs w:val="28"/>
        </w:rPr>
      </w:pPr>
      <w:r>
        <w:rPr>
          <w:sz w:val="28"/>
          <w:szCs w:val="28"/>
        </w:rPr>
        <w:tab/>
        <w:t>В-третьих, валютное законодательство в РФ еще далеко от своего полного становления, оно объективно ограничено, не полностью систематизировано, отрывочно, а зачастую и противоречиво. В целом же оно достаточно сложно даже для специалистов, не говоря о работниках предприятий и банков, поэтому, чем меньше будет исключений из единых правил и норм валютного регулирования, тем эффективнее будет валютная политика государства. Практика показывает, что многочисленные льготы, которые делались в интересах отдельных регионов, отраслей и даже конкретных предприятий существенно усложняло работу банковской системы, «запутывало» законодательство, делало невозможным применение универсальных санкций за нарушение единых норм. Предоставление таких льгот не сопровождается мерами специального контроля за фактическим их использованием, что создает незаслуженные преимущества одних участников валютных отношений перед другими и стимулирует иждивенческие настроения у претендентов на льготы. Предоставление индивидуальных льгот опасно, прежде всего, тем, что оно нарушает целостный и единообразный механизм государственного валютного регулирования и контроля.</w:t>
      </w:r>
    </w:p>
    <w:p w:rsidR="00FB15CE" w:rsidRDefault="00FB15CE">
      <w:pPr>
        <w:pStyle w:val="2"/>
        <w:ind w:right="-109"/>
      </w:pPr>
      <w:bookmarkStart w:id="0" w:name="_Toc482643694"/>
      <w:bookmarkStart w:id="1" w:name="_Toc482643787"/>
      <w:r>
        <w:br w:type="page"/>
      </w:r>
      <w:r>
        <w:rPr>
          <w:sz w:val="32"/>
          <w:szCs w:val="32"/>
        </w:rPr>
        <w:t>2. Бреттонвудская валютная система</w:t>
      </w:r>
    </w:p>
    <w:p w:rsidR="00FB15CE" w:rsidRDefault="00FB15CE"/>
    <w:p w:rsidR="00FB15CE" w:rsidRDefault="00FB15CE">
      <w:pPr>
        <w:pStyle w:val="2"/>
        <w:ind w:right="-109"/>
      </w:pPr>
      <w:r>
        <w:t>2.1 Кризис мировой валютной системы и создание</w:t>
      </w:r>
      <w:bookmarkEnd w:id="0"/>
      <w:r>
        <w:t xml:space="preserve"> Бреттонвудской системы.</w:t>
      </w:r>
      <w:bookmarkEnd w:id="1"/>
    </w:p>
    <w:p w:rsidR="00FB15CE" w:rsidRDefault="00FB15CE">
      <w:pPr>
        <w:ind w:right="-109"/>
        <w:rPr>
          <w:sz w:val="28"/>
          <w:szCs w:val="28"/>
        </w:rPr>
      </w:pPr>
    </w:p>
    <w:p w:rsidR="00FB15CE" w:rsidRDefault="00FB15CE">
      <w:pPr>
        <w:pStyle w:val="21"/>
        <w:spacing w:after="0" w:line="240" w:lineRule="auto"/>
        <w:ind w:right="-109" w:firstLine="720"/>
        <w:jc w:val="both"/>
        <w:rPr>
          <w:sz w:val="28"/>
          <w:szCs w:val="28"/>
        </w:rPr>
      </w:pPr>
      <w:r>
        <w:rPr>
          <w:sz w:val="28"/>
          <w:szCs w:val="28"/>
        </w:rPr>
        <w:t xml:space="preserve">Вторая мировая война привела к углублению кризиса Генуэзской валютной системы. Разработка проекта новой мировой валютной системы началась еще в годы войны (в апреле 1943 г.), так как страны опасались потрясений, подобных валютному кризису после первой мировой войны и в 30-х годах. </w:t>
      </w:r>
    </w:p>
    <w:p w:rsidR="00FB15CE" w:rsidRDefault="00FB15CE">
      <w:pPr>
        <w:pStyle w:val="21"/>
        <w:spacing w:after="0" w:line="240" w:lineRule="auto"/>
        <w:ind w:right="-109" w:firstLine="720"/>
        <w:jc w:val="both"/>
        <w:rPr>
          <w:sz w:val="28"/>
          <w:szCs w:val="28"/>
        </w:rPr>
      </w:pPr>
      <w:r>
        <w:rPr>
          <w:sz w:val="28"/>
          <w:szCs w:val="28"/>
        </w:rPr>
        <w:t>На валютно-финансовой конференции ООН в Бреттон-Вудсе (США) в 1944 г. были установлены правила организации мировой торговли, валютных, кредитных и финансовых отношений и оформлена третья мировая валютная система. Принятые на конференции Статьи Соглашения (Устав МВФ) определили следующие принципы Бреттонвудской валютной системы.</w:t>
      </w:r>
    </w:p>
    <w:p w:rsidR="00FB15CE" w:rsidRDefault="00FB15CE">
      <w:pPr>
        <w:pStyle w:val="21"/>
        <w:numPr>
          <w:ilvl w:val="0"/>
          <w:numId w:val="2"/>
        </w:numPr>
        <w:tabs>
          <w:tab w:val="left" w:pos="993"/>
          <w:tab w:val="left" w:pos="1134"/>
        </w:tabs>
        <w:spacing w:after="0" w:line="240" w:lineRule="auto"/>
        <w:ind w:right="-109"/>
        <w:jc w:val="both"/>
        <w:rPr>
          <w:sz w:val="28"/>
          <w:szCs w:val="28"/>
        </w:rPr>
      </w:pPr>
      <w:r>
        <w:rPr>
          <w:sz w:val="28"/>
          <w:szCs w:val="28"/>
        </w:rPr>
        <w:t>Введен золотодевизный стандарт, основанный на золоте и двух резервных валютах — долларе США и фунте стерлингов.</w:t>
      </w:r>
    </w:p>
    <w:p w:rsidR="00FB15CE" w:rsidRDefault="00FB15CE">
      <w:pPr>
        <w:pStyle w:val="21"/>
        <w:numPr>
          <w:ilvl w:val="0"/>
          <w:numId w:val="3"/>
        </w:numPr>
        <w:tabs>
          <w:tab w:val="left" w:pos="993"/>
          <w:tab w:val="left" w:pos="1134"/>
        </w:tabs>
        <w:spacing w:after="0" w:line="240" w:lineRule="auto"/>
        <w:ind w:right="-109"/>
        <w:jc w:val="both"/>
        <w:rPr>
          <w:sz w:val="28"/>
          <w:szCs w:val="28"/>
        </w:rPr>
      </w:pPr>
      <w:r>
        <w:rPr>
          <w:sz w:val="28"/>
          <w:szCs w:val="28"/>
        </w:rPr>
        <w:t xml:space="preserve">Бреттонвудское соглашение предусматривало четыре формы использования золота как основы мировой валютной системы: </w:t>
      </w:r>
    </w:p>
    <w:p w:rsidR="00FB15CE" w:rsidRDefault="00FB15CE">
      <w:pPr>
        <w:pStyle w:val="21"/>
        <w:tabs>
          <w:tab w:val="left" w:pos="-993"/>
          <w:tab w:val="left" w:pos="1134"/>
          <w:tab w:val="left" w:pos="1412"/>
          <w:tab w:val="left" w:pos="1560"/>
          <w:tab w:val="left" w:pos="1775"/>
        </w:tabs>
        <w:spacing w:after="0" w:line="240" w:lineRule="auto"/>
        <w:ind w:left="567" w:right="-109" w:firstLine="284"/>
        <w:jc w:val="both"/>
        <w:outlineLvl w:val="1"/>
        <w:rPr>
          <w:sz w:val="28"/>
          <w:szCs w:val="28"/>
        </w:rPr>
      </w:pPr>
      <w:r>
        <w:rPr>
          <w:sz w:val="28"/>
          <w:szCs w:val="28"/>
        </w:rPr>
        <w:t xml:space="preserve">А) сохранены золотые паритеты валют и введена их фиксация в МВФ; </w:t>
      </w:r>
    </w:p>
    <w:p w:rsidR="00FB15CE" w:rsidRDefault="00FB15CE">
      <w:pPr>
        <w:pStyle w:val="21"/>
        <w:tabs>
          <w:tab w:val="left" w:pos="-993"/>
        </w:tabs>
        <w:spacing w:after="0" w:line="240" w:lineRule="auto"/>
        <w:ind w:left="567" w:right="-109" w:firstLine="284"/>
        <w:jc w:val="both"/>
        <w:outlineLvl w:val="1"/>
        <w:rPr>
          <w:sz w:val="28"/>
          <w:szCs w:val="28"/>
        </w:rPr>
      </w:pPr>
      <w:r>
        <w:rPr>
          <w:sz w:val="28"/>
          <w:szCs w:val="28"/>
        </w:rPr>
        <w:t>Б) золото продолжало использоваться как международное платежное и резервное средство;</w:t>
      </w:r>
    </w:p>
    <w:p w:rsidR="00FB15CE" w:rsidRDefault="00FB15CE">
      <w:pPr>
        <w:pStyle w:val="21"/>
        <w:tabs>
          <w:tab w:val="left" w:pos="-993"/>
        </w:tabs>
        <w:spacing w:after="0" w:line="240" w:lineRule="auto"/>
        <w:ind w:left="567" w:right="-109" w:firstLine="284"/>
        <w:jc w:val="both"/>
        <w:outlineLvl w:val="1"/>
        <w:rPr>
          <w:sz w:val="28"/>
          <w:szCs w:val="28"/>
        </w:rPr>
      </w:pPr>
      <w:r>
        <w:rPr>
          <w:sz w:val="28"/>
          <w:szCs w:val="28"/>
        </w:rPr>
        <w:t xml:space="preserve">В) опираясь на свой возросший валютно-экономический потенциал и золотой запас, США приравняли доллар к золоту, чтобы закрепить за ним статус главной резервной валюты; </w:t>
      </w:r>
    </w:p>
    <w:p w:rsidR="00FB15CE" w:rsidRDefault="00FB15CE">
      <w:pPr>
        <w:pStyle w:val="21"/>
        <w:tabs>
          <w:tab w:val="left" w:pos="-993"/>
        </w:tabs>
        <w:spacing w:after="0" w:line="240" w:lineRule="auto"/>
        <w:ind w:left="567" w:right="-109" w:firstLine="284"/>
        <w:jc w:val="both"/>
        <w:outlineLvl w:val="1"/>
        <w:rPr>
          <w:sz w:val="28"/>
          <w:szCs w:val="28"/>
        </w:rPr>
      </w:pPr>
      <w:r>
        <w:rPr>
          <w:sz w:val="28"/>
          <w:szCs w:val="28"/>
        </w:rPr>
        <w:t xml:space="preserve">Г) с этой целью казначейство США продолжало разменивать доллар на золото иностранным центральным банкам и правительственным учреждениям по официальной цене, установленной в 1934 г., исходя из золотого содержания своей валюты (35 долл. за 1 тройскую унцию, равную 31,1035 г). </w:t>
      </w:r>
    </w:p>
    <w:p w:rsidR="00FB15CE" w:rsidRDefault="00FB15CE">
      <w:pPr>
        <w:pStyle w:val="21"/>
        <w:spacing w:after="0" w:line="240" w:lineRule="auto"/>
        <w:ind w:right="-109" w:firstLine="720"/>
        <w:jc w:val="both"/>
        <w:rPr>
          <w:sz w:val="28"/>
          <w:szCs w:val="28"/>
        </w:rPr>
      </w:pPr>
      <w:r>
        <w:rPr>
          <w:sz w:val="28"/>
          <w:szCs w:val="28"/>
        </w:rPr>
        <w:t>Предусматривалось введение взаимной обратимости валют. Валютные ограничения подлежали постепенной отмене, и для их введения требовалось согласие МВФ.</w:t>
      </w:r>
    </w:p>
    <w:p w:rsidR="00FB15CE" w:rsidRDefault="00FB15CE">
      <w:pPr>
        <w:pStyle w:val="21"/>
        <w:numPr>
          <w:ilvl w:val="0"/>
          <w:numId w:val="4"/>
        </w:numPr>
        <w:spacing w:after="0" w:line="240" w:lineRule="auto"/>
        <w:ind w:right="-109"/>
        <w:jc w:val="both"/>
        <w:rPr>
          <w:sz w:val="28"/>
          <w:szCs w:val="28"/>
        </w:rPr>
      </w:pPr>
      <w:r>
        <w:rPr>
          <w:sz w:val="28"/>
          <w:szCs w:val="28"/>
        </w:rPr>
        <w:t>Курсовое соотношение валют и их конвертируемость стали осуществляться на основе фиксированных валютных паритетов, выраженных в долларах. Девальвация свыше 10% допускалась лишь с разрешения Фонда. Установлен режим фиксированных валютных курсов: рыночный курс валют мог отклоняться от паритета в узких пределах (</w:t>
      </w:r>
      <w:r>
        <w:rPr>
          <w:sz w:val="28"/>
          <w:szCs w:val="28"/>
          <w:vertAlign w:val="superscript"/>
        </w:rPr>
        <w:t>+</w:t>
      </w:r>
      <w:r>
        <w:rPr>
          <w:sz w:val="28"/>
          <w:szCs w:val="28"/>
        </w:rPr>
        <w:t xml:space="preserve">/-1% по Уставу МВФ и </w:t>
      </w:r>
      <w:r>
        <w:rPr>
          <w:sz w:val="28"/>
          <w:szCs w:val="28"/>
          <w:vertAlign w:val="superscript"/>
        </w:rPr>
        <w:t>+</w:t>
      </w:r>
      <w:r>
        <w:rPr>
          <w:sz w:val="28"/>
          <w:szCs w:val="28"/>
        </w:rPr>
        <w:t>/-0,75% по Европейскому валютному соглашению). Для соблюдения пределов колебаний курсов валют центральные банки были обязаны проводить валютную интервенцию в долларах.</w:t>
      </w:r>
    </w:p>
    <w:p w:rsidR="00FB15CE" w:rsidRDefault="00FB15CE">
      <w:pPr>
        <w:pStyle w:val="21"/>
        <w:numPr>
          <w:ilvl w:val="0"/>
          <w:numId w:val="4"/>
        </w:numPr>
        <w:spacing w:after="0" w:line="240" w:lineRule="auto"/>
        <w:ind w:right="-109"/>
        <w:jc w:val="both"/>
        <w:rPr>
          <w:sz w:val="28"/>
          <w:szCs w:val="28"/>
        </w:rPr>
      </w:pPr>
      <w:r>
        <w:rPr>
          <w:sz w:val="28"/>
          <w:szCs w:val="28"/>
        </w:rPr>
        <w:t>Впервые в истории созданы международные валютно-кредитные организации МВФ и МБРР. МВФ предоставляет кредиты в иностранной валюте для покрытия дефицита платежных балансов в целях поддержки нестабильных валют, осуществляет контроль за соблюдением странами-членами принципов мировой валютной системы, обеспечивает валютное сотрудничество стран.</w:t>
      </w:r>
    </w:p>
    <w:p w:rsidR="00FB15CE" w:rsidRDefault="00FB15CE">
      <w:pPr>
        <w:pStyle w:val="1"/>
        <w:ind w:right="-109"/>
        <w:jc w:val="both"/>
        <w:rPr>
          <w:b w:val="0"/>
          <w:bCs w:val="0"/>
        </w:rPr>
      </w:pPr>
      <w:r>
        <w:rPr>
          <w:b w:val="0"/>
          <w:bCs w:val="0"/>
        </w:rPr>
        <w:t xml:space="preserve">Под давлением США в рамках Бреттонвудской системы утвердился долларовый стандарт — мировая валютная система, основанная на господстве доллара. Доллар единственная валюта, конвертируемая в золото, стал базой валютных паритетов, преобладающим средством международных расчетов, валютной интервенции и резервных активов. Тем самым США установили монопольную валютную гегемонию, оттеснив своего давнего конкурента — Великобританию. Фунт стерлингов, хотя за ним в силу исторической традиции также была закреплена роль резервной валюты, стал крайне нестабильным. США использовали статус доллара как резервной валюты для покрытия национальной валютой дефицита своего платежного баланса. </w:t>
      </w:r>
    </w:p>
    <w:p w:rsidR="00FB15CE" w:rsidRDefault="00FB15CE">
      <w:pPr>
        <w:pStyle w:val="1"/>
        <w:ind w:right="-109"/>
        <w:jc w:val="both"/>
        <w:rPr>
          <w:b w:val="0"/>
          <w:bCs w:val="0"/>
        </w:rPr>
      </w:pPr>
      <w:r>
        <w:rPr>
          <w:b w:val="0"/>
          <w:bCs w:val="0"/>
        </w:rPr>
        <w:t xml:space="preserve">Специфика долларового стандарта в рамках Бреттонвудской системы заключалась в сохранении связи доллара с золотом. США из двух путей стабилизации валютного курса — узкие пределы его колебаний или конверсия доллара в золото — предпочли второй. Тем самым они возложили на своих партнеров заботу о поддержании фиксированных курсов их валют к доллару путем валютной интервенции. В итоге усилилось давление США на валютные рынки. </w:t>
      </w:r>
    </w:p>
    <w:p w:rsidR="00FB15CE" w:rsidRDefault="00FB15CE">
      <w:pPr>
        <w:pStyle w:val="1"/>
        <w:ind w:right="-109"/>
        <w:jc w:val="both"/>
        <w:rPr>
          <w:b w:val="0"/>
          <w:bCs w:val="0"/>
        </w:rPr>
      </w:pPr>
      <w:r>
        <w:rPr>
          <w:b w:val="0"/>
          <w:bCs w:val="0"/>
        </w:rPr>
        <w:t xml:space="preserve">Засилие США в Бреттонвудской системе было обусловлено новой расстановкой сил в мировом хозяйстве. США сосредоточили в 1949 г. 54,6% капиталистического промышленного производства, 33% экспорта, почти 75% золотых резервов. </w:t>
      </w:r>
      <w:bookmarkStart w:id="2" w:name="_Toc482643788"/>
    </w:p>
    <w:p w:rsidR="00FB15CE" w:rsidRDefault="00FB15CE">
      <w:pPr>
        <w:ind w:right="-109"/>
        <w:rPr>
          <w:sz w:val="28"/>
          <w:szCs w:val="28"/>
        </w:rPr>
      </w:pPr>
    </w:p>
    <w:p w:rsidR="00FB15CE" w:rsidRDefault="00FB15CE">
      <w:pPr>
        <w:ind w:right="-109"/>
        <w:rPr>
          <w:sz w:val="28"/>
          <w:szCs w:val="28"/>
        </w:rPr>
      </w:pPr>
    </w:p>
    <w:p w:rsidR="00FB15CE" w:rsidRDefault="00FB15CE">
      <w:pPr>
        <w:pStyle w:val="1"/>
        <w:ind w:right="-109"/>
        <w:jc w:val="both"/>
      </w:pPr>
      <w:r>
        <w:t>2.2 Проблемы функционирования бреттонвудской валютной системы</w:t>
      </w:r>
      <w:bookmarkEnd w:id="2"/>
    </w:p>
    <w:p w:rsidR="00FB15CE" w:rsidRDefault="00FB15CE">
      <w:pPr>
        <w:ind w:right="-109"/>
        <w:rPr>
          <w:sz w:val="28"/>
          <w:szCs w:val="28"/>
        </w:rPr>
      </w:pPr>
    </w:p>
    <w:p w:rsidR="00FB15CE" w:rsidRDefault="00FB15CE">
      <w:pPr>
        <w:pStyle w:val="21"/>
        <w:spacing w:after="0" w:line="240" w:lineRule="auto"/>
        <w:ind w:right="-109" w:firstLine="720"/>
        <w:jc w:val="both"/>
        <w:rPr>
          <w:sz w:val="28"/>
          <w:szCs w:val="28"/>
        </w:rPr>
      </w:pPr>
      <w:r>
        <w:rPr>
          <w:sz w:val="28"/>
          <w:szCs w:val="28"/>
        </w:rPr>
        <w:t>Экономическое превосходство США и слабость их конкурентов обусловили господствующее положение доллара, который пользовался всеобщим спросом. Опорой долларовой гегемонии служил также «долларовый голод» — острая нехватка долларов, вызываемая дефицитом платежного баланса, особенно по расчетам с США, и недостатком золотовалютных резервов. Он отражал в концентрированном виде тяжелое валютно-экономическое положение стран Западной Европы и Японии, их зависимость от США, долларовую гегемонию.</w:t>
      </w:r>
    </w:p>
    <w:p w:rsidR="00FB15CE" w:rsidRDefault="00FB15CE">
      <w:pPr>
        <w:pStyle w:val="21"/>
        <w:spacing w:after="0" w:line="240" w:lineRule="auto"/>
        <w:ind w:right="-109" w:firstLine="720"/>
        <w:jc w:val="both"/>
        <w:rPr>
          <w:sz w:val="28"/>
          <w:szCs w:val="28"/>
        </w:rPr>
      </w:pPr>
      <w:r>
        <w:rPr>
          <w:sz w:val="28"/>
          <w:szCs w:val="28"/>
        </w:rPr>
        <w:t>Дефицит платежных балансов, истощение официальных золотовалютных резервов, «долларовый голод» привели к усилению валютных ограничений в большинстве стран, кроме США, Канады, Швейцарии. Обратимость валют была ограничена. Ввоз и вывоз валюты без разрешения органов валютного контроля были запрещены. Официальный валютный курс носил искусственный характер. Многие страны Латинской Америки и Западной Европы практиковали множественность валютных курсов — дифференциацию курсовых соотношений валют по видам операций, товарным группам и регионам.</w:t>
      </w:r>
    </w:p>
    <w:p w:rsidR="00FB15CE" w:rsidRDefault="00FB15CE">
      <w:pPr>
        <w:pStyle w:val="21"/>
        <w:spacing w:after="0" w:line="240" w:lineRule="auto"/>
        <w:ind w:right="-109" w:firstLine="720"/>
        <w:jc w:val="both"/>
        <w:rPr>
          <w:sz w:val="28"/>
          <w:szCs w:val="28"/>
        </w:rPr>
      </w:pPr>
      <w:r>
        <w:rPr>
          <w:sz w:val="28"/>
          <w:szCs w:val="28"/>
        </w:rPr>
        <w:t>В связи с неустойчивостью экономики, кризисом платежных балансов, усилением инфляции курсы западноевропейских валют по отношению к доллару снизились. Возникли «курсовые перекосы» — несоответствие рыночного и официального курсов, что явилось причиной многочисленных девальваций. Девальвация — официальное снижение курса бумажных денег по отношению к золоту (серебру или иностранной валюте) или уменьшение золотого содержания денежной единицы, и иногда сопровождающееся обменов старых денежных знаков на новые. Среди них особое место занимает массовая девальвация валют в 1949 г.</w:t>
      </w:r>
    </w:p>
    <w:p w:rsidR="00FB15CE" w:rsidRDefault="00FB15CE">
      <w:pPr>
        <w:pStyle w:val="21"/>
        <w:spacing w:after="0" w:line="240" w:lineRule="auto"/>
        <w:ind w:right="-109" w:firstLine="720"/>
        <w:jc w:val="both"/>
        <w:rPr>
          <w:sz w:val="28"/>
          <w:szCs w:val="28"/>
        </w:rPr>
      </w:pPr>
      <w:r>
        <w:rPr>
          <w:sz w:val="28"/>
          <w:szCs w:val="28"/>
        </w:rPr>
        <w:t>США использовали принципы Бреттонвудской системы (статус доллара как резервной валюты, фиксированные паритеты и курсы валют, конверсия доллара в золото, заниженная официальная цена золота) для усиления своих позиций в мире. Страны Западной Европы и Японии были заинтересованы в заниженном курсе своих валют в целях поощрения экспорта и восстановления разрушенной экономики. В связи с этим Бреттонвудская система в течение четверти века способствовала росту мировой торговли и производства. Однако послевоенная валютная система не обеспечила равные права всем ее участникам и позволила США влиять на валютную политику стран Западной Европы, Японии и других членов МВФ</w:t>
      </w:r>
      <w:bookmarkStart w:id="3" w:name="МВФ"/>
      <w:bookmarkEnd w:id="3"/>
      <w:r>
        <w:rPr>
          <w:sz w:val="28"/>
          <w:szCs w:val="28"/>
        </w:rPr>
        <w:t>. Неравноправный валютный механизм способствовал укреплению позиций в США в мире в ущерб другим странам и международному сотрудничеству. Противоречия Бреттонвудской системы постепенно расшатывали ее.</w:t>
      </w:r>
    </w:p>
    <w:p w:rsidR="00FB15CE" w:rsidRDefault="00FB15CE">
      <w:pPr>
        <w:pStyle w:val="21"/>
        <w:spacing w:after="0" w:line="240" w:lineRule="auto"/>
        <w:ind w:right="-109" w:firstLine="720"/>
        <w:jc w:val="both"/>
        <w:rPr>
          <w:sz w:val="28"/>
          <w:szCs w:val="28"/>
        </w:rPr>
      </w:pPr>
      <w:r>
        <w:rPr>
          <w:sz w:val="28"/>
          <w:szCs w:val="28"/>
        </w:rPr>
        <w:t>Экономические, энергетический, сырьевой кризисы дестабилизировали Бреттонвудскую систему в 60-х годах. Изменение соотношения сил на мировой арене подорвало ее структурные принципы. С конца 60-х годов постепенно ослабло экономическое, финансово-валютное, технологическое превосходство США над конкурентами. Западная Европа и Япония, укрепив свой валютно-экономический потенциал, стали теснить американского партнера. На страны «Общего рынка» в 1984 г. приходилось 36,0% промышленного производства стран ОЭСР</w:t>
      </w:r>
      <w:bookmarkStart w:id="4" w:name="ОЭСР"/>
      <w:bookmarkEnd w:id="4"/>
      <w:r>
        <w:rPr>
          <w:sz w:val="28"/>
          <w:szCs w:val="28"/>
        </w:rPr>
        <w:t xml:space="preserve"> (США — 34,3%), 33,7% экспорта (США — 12,7%). Удельный вес США в золотых резервах уменьшился с 75% в 1949 г. до 23%. Одновременно доля стран ЕЭС в золотых резервах возросла до 38%, в валютных — до 53% (США — 10,8%).</w:t>
      </w:r>
    </w:p>
    <w:p w:rsidR="00FB15CE" w:rsidRDefault="00FB15CE">
      <w:pPr>
        <w:pStyle w:val="21"/>
        <w:spacing w:after="0" w:line="240" w:lineRule="auto"/>
        <w:ind w:right="-109" w:firstLine="720"/>
        <w:jc w:val="both"/>
        <w:rPr>
          <w:sz w:val="28"/>
          <w:szCs w:val="28"/>
        </w:rPr>
      </w:pPr>
      <w:r>
        <w:rPr>
          <w:sz w:val="28"/>
          <w:szCs w:val="28"/>
        </w:rPr>
        <w:t>Доллар постепенно утрачивает монопольное положение в валютных отношениях. Марка ФРГ, швейцарский франк, другие западноевропейские валюты и японская иена соперничают с ним на валютных рынках, используются как международное платежное и резервное средство Исчезла экономическая и валютная зависимость стран Западной Европы от США, характерная для первых послевоенных лет. С формированием трех центров партнерства и соперничества возник новый центр валютной силы в виде ЕЭС</w:t>
      </w:r>
      <w:bookmarkStart w:id="5" w:name="ЕЭС"/>
      <w:bookmarkEnd w:id="5"/>
      <w:r>
        <w:rPr>
          <w:sz w:val="28"/>
          <w:szCs w:val="28"/>
        </w:rPr>
        <w:t>, соперничающего с США и Японией.</w:t>
      </w:r>
    </w:p>
    <w:p w:rsidR="00FB15CE" w:rsidRDefault="00FB15CE">
      <w:pPr>
        <w:pStyle w:val="21"/>
        <w:spacing w:after="0" w:line="240" w:lineRule="auto"/>
        <w:ind w:right="-109" w:firstLine="720"/>
        <w:jc w:val="both"/>
        <w:rPr>
          <w:sz w:val="28"/>
          <w:szCs w:val="28"/>
        </w:rPr>
      </w:pPr>
    </w:p>
    <w:p w:rsidR="00FB15CE" w:rsidRDefault="00FB15CE">
      <w:pPr>
        <w:pStyle w:val="1"/>
        <w:ind w:right="-109" w:firstLine="284"/>
        <w:jc w:val="both"/>
      </w:pPr>
      <w:bookmarkStart w:id="6" w:name="_Toc482643793"/>
      <w:r>
        <w:t xml:space="preserve"> </w:t>
      </w:r>
      <w:r>
        <w:tab/>
        <w:t xml:space="preserve">  2.3 Кризис бреттонвудской валютной си</w:t>
      </w:r>
      <w:bookmarkEnd w:id="6"/>
      <w:r>
        <w:t>стемы</w:t>
      </w:r>
    </w:p>
    <w:p w:rsidR="00FB15CE" w:rsidRDefault="00FB15CE">
      <w:pPr>
        <w:pStyle w:val="21"/>
        <w:spacing w:after="0" w:line="240" w:lineRule="auto"/>
        <w:ind w:right="-109" w:firstLine="720"/>
        <w:jc w:val="both"/>
        <w:rPr>
          <w:sz w:val="28"/>
          <w:szCs w:val="28"/>
        </w:rPr>
      </w:pPr>
    </w:p>
    <w:p w:rsidR="00FB15CE" w:rsidRDefault="00FB15CE">
      <w:pPr>
        <w:pStyle w:val="21"/>
        <w:spacing w:after="0" w:line="240" w:lineRule="auto"/>
        <w:ind w:right="-109" w:firstLine="720"/>
        <w:jc w:val="both"/>
        <w:rPr>
          <w:sz w:val="28"/>
          <w:szCs w:val="28"/>
        </w:rPr>
      </w:pPr>
      <w:r>
        <w:rPr>
          <w:sz w:val="28"/>
          <w:szCs w:val="28"/>
        </w:rPr>
        <w:t>С конца 60-х годов наступил кризис Бреттонвудской валютной системы. Ее структурные принципы, установленные в 1944 г., перестали соответствовать условиям производства, мировой торговли и изменившемуся соотношению сил в мире. Сущность кризиса Бреттонвудской системы заключается в противоречии между интернациональным характером МЭО</w:t>
      </w:r>
      <w:bookmarkStart w:id="7" w:name="МЭО"/>
      <w:bookmarkEnd w:id="7"/>
      <w:r>
        <w:rPr>
          <w:sz w:val="28"/>
          <w:szCs w:val="28"/>
        </w:rPr>
        <w:t xml:space="preserve"> и использованием для их осуществления национальных валют, подверженных обесценению (преимущественно доллара).</w:t>
      </w:r>
    </w:p>
    <w:p w:rsidR="00FB15CE" w:rsidRDefault="00FB15CE">
      <w:pPr>
        <w:pStyle w:val="21"/>
        <w:spacing w:after="0" w:line="240" w:lineRule="auto"/>
        <w:ind w:right="-109" w:firstLine="720"/>
        <w:jc w:val="both"/>
        <w:rPr>
          <w:sz w:val="28"/>
          <w:szCs w:val="28"/>
        </w:rPr>
      </w:pPr>
      <w:r>
        <w:rPr>
          <w:sz w:val="28"/>
          <w:szCs w:val="28"/>
        </w:rPr>
        <w:t>Причины кризиса Бреттонвудской валютной системы можно представить в виде цепочки взаимообусловленных факторов.</w:t>
      </w:r>
    </w:p>
    <w:p w:rsidR="00FB15CE" w:rsidRDefault="00FB15CE">
      <w:pPr>
        <w:pStyle w:val="21"/>
        <w:numPr>
          <w:ilvl w:val="0"/>
          <w:numId w:val="5"/>
        </w:numPr>
        <w:spacing w:after="0" w:line="240" w:lineRule="auto"/>
        <w:ind w:right="-109"/>
        <w:jc w:val="both"/>
        <w:rPr>
          <w:sz w:val="28"/>
          <w:szCs w:val="28"/>
        </w:rPr>
      </w:pPr>
      <w:r>
        <w:rPr>
          <w:sz w:val="28"/>
          <w:szCs w:val="28"/>
        </w:rPr>
        <w:t>Неустойчивость и противоречия экономики. Начало валютного кризиса в 1967 г. совпало с замедлением экономического роста. Мировой циклический кризис охватил экономику Запада в 1969-1970, 1974-1975, 1979-1983 гг.</w:t>
      </w:r>
    </w:p>
    <w:p w:rsidR="00FB15CE" w:rsidRDefault="00FB15CE">
      <w:pPr>
        <w:numPr>
          <w:ilvl w:val="0"/>
          <w:numId w:val="5"/>
        </w:numPr>
        <w:ind w:right="-109"/>
        <w:jc w:val="both"/>
        <w:rPr>
          <w:sz w:val="28"/>
          <w:szCs w:val="28"/>
        </w:rPr>
      </w:pPr>
      <w:r>
        <w:rPr>
          <w:sz w:val="28"/>
          <w:szCs w:val="28"/>
        </w:rPr>
        <w:t>Усиление инфляции отрицательно влияло на мировые цены и конкурентоспособность фирм, поощряло спекулятивные перемещения «горячих» денег. Различные темпы инфляции в разных странах оказывали влияние на динамику курса валют, а снижение покупательной способности денег создавало условия для «курсовых перекосов».</w:t>
      </w:r>
    </w:p>
    <w:p w:rsidR="00FB15CE" w:rsidRDefault="00FB15CE">
      <w:pPr>
        <w:numPr>
          <w:ilvl w:val="0"/>
          <w:numId w:val="5"/>
        </w:numPr>
        <w:ind w:right="-109"/>
        <w:jc w:val="both"/>
        <w:rPr>
          <w:sz w:val="28"/>
          <w:szCs w:val="28"/>
        </w:rPr>
      </w:pPr>
      <w:r>
        <w:rPr>
          <w:sz w:val="28"/>
          <w:szCs w:val="28"/>
        </w:rPr>
        <w:t>Нестабильность платежных балансов. Хронический дефицит балансов одних стран (особенно Великобритании, США) и активное сальдо других (ФРГ, Японии) усиливали резкие колебания курсов валют соответственно вниз и вверх.</w:t>
      </w:r>
    </w:p>
    <w:p w:rsidR="00FB15CE" w:rsidRDefault="00FB15CE">
      <w:pPr>
        <w:numPr>
          <w:ilvl w:val="0"/>
          <w:numId w:val="5"/>
        </w:numPr>
        <w:ind w:right="-109"/>
        <w:jc w:val="both"/>
        <w:rPr>
          <w:sz w:val="28"/>
          <w:szCs w:val="28"/>
        </w:rPr>
      </w:pPr>
      <w:r>
        <w:rPr>
          <w:sz w:val="28"/>
          <w:szCs w:val="28"/>
        </w:rPr>
        <w:t>Несоответствие принципов Бреттонвудской системы изменившемуся соотношению сил на мировой арене. Валютная система, основанная на международном использовании подверженных обесценению национальных валют — доллара и отчасти фунта стерлингов, пришла в противоречие с интернационализацией мирового хозяйства. Это противоречие Бреттонвудской системы усиливалось по мере ослабления экономических позиций США и Великобритании, которые погашали дефицит своих платежных балансов национальными валютами, злоупотребляя их статусом резервных валют. В итоге была подорвана устойчивость резервных валют.</w:t>
      </w:r>
    </w:p>
    <w:p w:rsidR="00FB15CE" w:rsidRDefault="00FB15CE">
      <w:pPr>
        <w:pStyle w:val="21"/>
        <w:spacing w:after="0" w:line="240" w:lineRule="auto"/>
        <w:ind w:right="-109" w:firstLine="720"/>
        <w:jc w:val="both"/>
        <w:rPr>
          <w:sz w:val="28"/>
          <w:szCs w:val="28"/>
        </w:rPr>
      </w:pPr>
      <w:r>
        <w:rPr>
          <w:sz w:val="28"/>
          <w:szCs w:val="28"/>
        </w:rPr>
        <w:t xml:space="preserve">Право владельцев долларовых авуаров обменивать их на золото пришло в противоречие с возможностью США выполнять это обязательство. Их внешняя краткосрочная задолженность увеличилась в 8,5 раза за 1949-1971 гг., а официальные золотые резервы сократились в 2,4 раза. Следствием американской политики «дефицита без слез» явился подрыв доверия к доллару. Заниженная в интересах США официальная цена золота, служившая базой золотых и валютных паритетов, стала резко отклоняться от рыночной цены. Межгосударственное регулирование этой цены оказалось бессильным. В итоге искусственные золотые паритеты утратили смысл. Это противоречие усугублялось упорным отказом США до 1971 г. девальвировать свою валюту. Режим фиксированных паритетов и курсов валют усугубил «курсовые перекосы». В соответствии с Бреттонвудским соглашением центральные банки были вынуждены осуществлять валютную интервенцию с использованием доллара даже в ущерб национальным интересам. Тем самым США переложили на другие страны заботу о поддержании курса доллара, что обостряло межгосударственные противоречия. Поскольку Устав МВФ допускал лишь разовые девальвации и ревальвации, то в ожидании их усиливались движение «горячих» денег, спекулятивная игра на понижение курса слабых валют и на повышение курса сильных валют. Межгосударственное валютное регулирование через МВФ оказалось почти безрезультатным. Его кредиты были недостаточны для покрытия даже временного дефицита платежных балансов и поддержки валют. </w:t>
      </w:r>
    </w:p>
    <w:p w:rsidR="00FB15CE" w:rsidRDefault="00FB15CE">
      <w:pPr>
        <w:pStyle w:val="21"/>
        <w:spacing w:after="0" w:line="240" w:lineRule="auto"/>
        <w:ind w:right="-109" w:firstLine="720"/>
        <w:jc w:val="both"/>
        <w:rPr>
          <w:sz w:val="28"/>
          <w:szCs w:val="28"/>
        </w:rPr>
      </w:pPr>
      <w:r>
        <w:rPr>
          <w:sz w:val="28"/>
          <w:szCs w:val="28"/>
        </w:rPr>
        <w:t xml:space="preserve">Принцип американоцентризма, на котором была основана Бреттонвудская система, перестал соответствовать новой расстановке сил с возникновением трех мировых центров: США — Западная Европа — Япония. Использование США статуса доллара как резервной валюты для расширения своей внешнеэкономической и военно-политической экспансии, экспорта инфляции усилило межгосударственные разногласия и противоречило интересам развивающихся стран. </w:t>
      </w:r>
    </w:p>
    <w:p w:rsidR="00FB15CE" w:rsidRDefault="00FB15CE">
      <w:pPr>
        <w:pStyle w:val="21"/>
        <w:numPr>
          <w:ilvl w:val="0"/>
          <w:numId w:val="5"/>
        </w:numPr>
        <w:spacing w:after="0" w:line="240" w:lineRule="auto"/>
        <w:ind w:right="-109"/>
        <w:jc w:val="both"/>
        <w:rPr>
          <w:sz w:val="28"/>
          <w:szCs w:val="28"/>
        </w:rPr>
      </w:pPr>
      <w:r>
        <w:rPr>
          <w:sz w:val="28"/>
          <w:szCs w:val="28"/>
        </w:rPr>
        <w:t>Активизация рынка евродолларов. Поскольку США покрывают дефицит своего платежного баланса национальной валютой, часть долларов перемещается в иностранные банки, способствуя развитию рынка евродолларов. Этот колоссальный рынок долларов «без родины» (750 млрд. долл., или 80% объема еврорынка, в 1981 г. против 2 млрд. долл. в 1960 г.) сыграл двоякую роль в развитии кризиса Бреттонвудской системы. Вначале он поддерживал позиции американской валюты, поглощая избыток долларов, но в 70-х годах евродолларовые операции, ускоряя стихийное движение «горячих» денег между странами, обострили валютный кризис.</w:t>
      </w:r>
    </w:p>
    <w:p w:rsidR="00FB15CE" w:rsidRDefault="00FB15CE">
      <w:pPr>
        <w:pStyle w:val="21"/>
        <w:numPr>
          <w:ilvl w:val="0"/>
          <w:numId w:val="5"/>
        </w:numPr>
        <w:spacing w:after="0" w:line="240" w:lineRule="auto"/>
        <w:ind w:right="-109"/>
        <w:jc w:val="both"/>
        <w:rPr>
          <w:sz w:val="28"/>
          <w:szCs w:val="28"/>
        </w:rPr>
      </w:pPr>
      <w:r>
        <w:rPr>
          <w:sz w:val="28"/>
          <w:szCs w:val="28"/>
        </w:rPr>
        <w:t>Дезорганизующая роль транснациональных корпораций (ТНК) в валютной сфере: ТНК</w:t>
      </w:r>
      <w:bookmarkStart w:id="8" w:name="ТНК"/>
      <w:bookmarkEnd w:id="8"/>
      <w:r>
        <w:rPr>
          <w:sz w:val="28"/>
          <w:szCs w:val="28"/>
        </w:rPr>
        <w:t xml:space="preserve"> располагают гигантскими краткосрочными активами в разных валютах, которые более чем вдвое превышают валютные резервы центральных банков, ускользают от национального контроля и в погоне за прибылями участвуют в валютной спекуляции, придавая ей грандиозный размах. Кроме общих причин существовали специфические, присущие отдельным этапам развития кризиса Бреттонвудской системы.</w:t>
      </w:r>
    </w:p>
    <w:p w:rsidR="00FB15CE" w:rsidRDefault="00FB15CE">
      <w:pPr>
        <w:pStyle w:val="21"/>
        <w:spacing w:after="0" w:line="240" w:lineRule="auto"/>
        <w:ind w:right="-109"/>
        <w:jc w:val="both"/>
        <w:rPr>
          <w:sz w:val="28"/>
          <w:szCs w:val="28"/>
        </w:rPr>
      </w:pPr>
    </w:p>
    <w:p w:rsidR="00FB15CE" w:rsidRDefault="00FB15CE">
      <w:pPr>
        <w:pStyle w:val="3"/>
        <w:ind w:right="-109"/>
      </w:pPr>
      <w:bookmarkStart w:id="9" w:name="_Toc482643800"/>
      <w:r>
        <w:t>Девальвация доллара в декабре 1971 г.</w:t>
      </w:r>
      <w:bookmarkEnd w:id="9"/>
    </w:p>
    <w:p w:rsidR="00FB15CE" w:rsidRDefault="00FB15CE">
      <w:pPr>
        <w:ind w:right="-109"/>
        <w:rPr>
          <w:sz w:val="28"/>
          <w:szCs w:val="28"/>
        </w:rPr>
      </w:pPr>
    </w:p>
    <w:p w:rsidR="00FB15CE" w:rsidRDefault="00FB15CE">
      <w:pPr>
        <w:pStyle w:val="21"/>
        <w:spacing w:after="0" w:line="240" w:lineRule="auto"/>
        <w:ind w:right="-109" w:firstLine="720"/>
        <w:jc w:val="both"/>
        <w:rPr>
          <w:sz w:val="28"/>
          <w:szCs w:val="28"/>
        </w:rPr>
      </w:pPr>
      <w:r>
        <w:rPr>
          <w:sz w:val="28"/>
          <w:szCs w:val="28"/>
        </w:rPr>
        <w:t>Кризис Бреттонвудской системы достиг кульминационного пункта весной и летом 1971 г., когда в его эпицентре оказалась главная резервная валюта. Кризис доллара совпал с длительной депрессией в США после экономического кризиса 1969-1970 гг. Под влиянием инфляции покупательная способность доллара упала на 2/3 в середине 1971 г. по сравнению с 1934 г., когда был установлен его золотой паритет. Совокупный дефицит платежного баланса по текущим операциям США составил 71,7 млрд. долл. за 1949—1971 гг. Краткосрочная внешняя задолженность страны увеличилась с 7,6 млрд. долл. в 1949 г. до 64,3 млрд. в 1971 г., превысив в 6,3 раза официальный золотой запас, который сократился за этот период с 24,6 млрд. до 10,2 млрд. долл.</w:t>
      </w:r>
    </w:p>
    <w:p w:rsidR="00FB15CE" w:rsidRDefault="00FB15CE">
      <w:pPr>
        <w:pStyle w:val="21"/>
        <w:spacing w:after="0" w:line="240" w:lineRule="auto"/>
        <w:ind w:right="-109" w:firstLine="720"/>
        <w:jc w:val="both"/>
        <w:rPr>
          <w:sz w:val="28"/>
          <w:szCs w:val="28"/>
        </w:rPr>
      </w:pPr>
      <w:r>
        <w:rPr>
          <w:sz w:val="28"/>
          <w:szCs w:val="28"/>
        </w:rPr>
        <w:t>Кризис американской валюты выразился в массовой продаже ее на золото и устойчивые валюты, падении курса. Бесконтрольно кочующие евродоллары наводнили валютные рынки Западной Европы и Японии. Центральные банки этих стран были вынуждены скупать их для поддержания курсов своих валют в установленных МВФ пределах. Кризис доллара вызвал политическую форму выступлений стран (особенно Франции) против привилегии США, которые покрывали дефицит платежного баланса национальной валютой. Франция обменяла в казначействе США 3,5 млрд. долл. на золото в 1967—1969 гг. С конца 60-х годов конверсия доллара в золото стала фикцией: в 1970 г. 50 млрд. долларовых авуаров нерезидентов противостояли лишь 11 млрд. долл. официальных золотых резервов. США приняли ряд мер по спасению Бреттонвудской системы в 60-х годах.</w:t>
      </w:r>
    </w:p>
    <w:p w:rsidR="00FB15CE" w:rsidRDefault="00FB15CE">
      <w:pPr>
        <w:pStyle w:val="21"/>
        <w:numPr>
          <w:ilvl w:val="0"/>
          <w:numId w:val="6"/>
        </w:numPr>
        <w:spacing w:after="0" w:line="240" w:lineRule="auto"/>
        <w:ind w:right="-109"/>
        <w:jc w:val="both"/>
        <w:rPr>
          <w:sz w:val="28"/>
          <w:szCs w:val="28"/>
        </w:rPr>
      </w:pPr>
      <w:r>
        <w:rPr>
          <w:sz w:val="28"/>
          <w:szCs w:val="28"/>
        </w:rPr>
        <w:t>Привлечение валютных ресурсов из других стран. Долларовые балансы были частично трансформированы в прямые кредиты. Были заключены соглашения об операциях «своп» (2.3 млрд. долл. — в 1965 г., 11.3 млрд. долл. — в 1970 г.) между Федеральным резервным банком Нью-Йорка и рядом иностранных центральных банков. Краткосрочные боны Руза были размещены в западноевропейских странах.</w:t>
      </w:r>
    </w:p>
    <w:p w:rsidR="00FB15CE" w:rsidRDefault="00FB15CE">
      <w:pPr>
        <w:pStyle w:val="21"/>
        <w:numPr>
          <w:ilvl w:val="0"/>
          <w:numId w:val="6"/>
        </w:numPr>
        <w:spacing w:after="0" w:line="240" w:lineRule="auto"/>
        <w:ind w:right="-109"/>
        <w:jc w:val="both"/>
        <w:rPr>
          <w:sz w:val="28"/>
          <w:szCs w:val="28"/>
        </w:rPr>
      </w:pPr>
      <w:r>
        <w:rPr>
          <w:sz w:val="28"/>
          <w:szCs w:val="28"/>
        </w:rPr>
        <w:t>Коллективная защита доллара. Под давлением США центральные банки большинства стран воздерживались от обмена своих долларовых резервов в золото в американском казначействе. МВФ вложил часть своих золотых запасов в доллары вопреки Уставу. Ведущие центральные банки создали золотой пул (1962 г.) для поддержки цены золота, а после его распада с 17 марта 1968 г. ввели двойной рынок золота.</w:t>
      </w:r>
    </w:p>
    <w:p w:rsidR="00FB15CE" w:rsidRDefault="00FB15CE">
      <w:pPr>
        <w:pStyle w:val="21"/>
        <w:numPr>
          <w:ilvl w:val="0"/>
          <w:numId w:val="6"/>
        </w:numPr>
        <w:spacing w:after="0" w:line="240" w:lineRule="auto"/>
        <w:ind w:right="-109"/>
        <w:jc w:val="both"/>
        <w:rPr>
          <w:sz w:val="28"/>
          <w:szCs w:val="28"/>
        </w:rPr>
      </w:pPr>
      <w:r>
        <w:rPr>
          <w:sz w:val="28"/>
          <w:szCs w:val="28"/>
        </w:rPr>
        <w:t>Удвоение капитала МВФ (до 28 млрд. долл.) и генеральное соглашение 10 стран — членов Фонда и Швейцарии о займах Фонду (6 млрд. долл.), выпуск СДР</w:t>
      </w:r>
      <w:bookmarkStart w:id="10" w:name="СДР"/>
      <w:bookmarkEnd w:id="10"/>
      <w:r>
        <w:rPr>
          <w:sz w:val="28"/>
          <w:szCs w:val="28"/>
        </w:rPr>
        <w:t xml:space="preserve"> в 1970 г. в целях покрытия дефицита платежных балансов.</w:t>
      </w:r>
    </w:p>
    <w:p w:rsidR="00FB15CE" w:rsidRDefault="00FB15CE">
      <w:pPr>
        <w:pStyle w:val="21"/>
        <w:spacing w:after="0" w:line="240" w:lineRule="auto"/>
        <w:ind w:right="-109" w:firstLine="720"/>
        <w:jc w:val="both"/>
        <w:rPr>
          <w:sz w:val="28"/>
          <w:szCs w:val="28"/>
        </w:rPr>
      </w:pPr>
      <w:r>
        <w:rPr>
          <w:sz w:val="28"/>
          <w:szCs w:val="28"/>
        </w:rPr>
        <w:t>США упорно сопротивлялись проведению назревшей девальвации доллара и настаивали на ревальвации валют своих торговых партнеров. В мае 1971 г. была осуществлена ревальвация швейцарского франка и австрийского шиллинга, введен плавающий курс валют ФРГ, Нидерландов, что привело к фактическому обесценению доллара на 6—8%. Скрытая девальвация устраивала США, так как она не отражалась столь губительно на престиже резервной валюты, как официальная. Чтобы сломить сопротивление торговых соперников, США перешли к политике протекционизма. 15 августа 1971 г. были объявлены чрезвычайные меры по спасению доллара: прекращен размен долларов на золото для иностранных центральных банков («золотое эмбарго»), введена дополнительная 10%-ная импортная пошлина. США встали на путь торговой и валютной войны. Наплыв долларов в страны Западной Европы и Японию вызвал массовый переход к плавающим валютным курсам и тем самым спекулятивную атаку их окрепших валют на доллар. Франция ввела двойной валютный рынок по примеру Бельгии, где он функционировал с 1952 г. Страны Западной Европы стали открыто выступать против привилегированного положения доллара в мировой валютной системе.</w:t>
      </w:r>
    </w:p>
    <w:p w:rsidR="00FB15CE" w:rsidRDefault="00FB15CE">
      <w:pPr>
        <w:pStyle w:val="21"/>
        <w:spacing w:after="0" w:line="240" w:lineRule="auto"/>
        <w:ind w:right="-109" w:firstLine="720"/>
        <w:jc w:val="both"/>
        <w:rPr>
          <w:sz w:val="28"/>
          <w:szCs w:val="28"/>
        </w:rPr>
      </w:pPr>
      <w:r>
        <w:rPr>
          <w:sz w:val="28"/>
          <w:szCs w:val="28"/>
        </w:rPr>
        <w:t>Поиски выхода из валютного кризиса завершились компромиссным Вашингтонским соглашением «группы десяти» 18 декабря 1971 г. Была достигнута договоренность по следующим пунктам:</w:t>
      </w:r>
    </w:p>
    <w:p w:rsidR="00FB15CE" w:rsidRDefault="00FB15CE">
      <w:pPr>
        <w:pStyle w:val="21"/>
        <w:numPr>
          <w:ilvl w:val="0"/>
          <w:numId w:val="7"/>
        </w:numPr>
        <w:tabs>
          <w:tab w:val="num" w:pos="1211"/>
        </w:tabs>
        <w:spacing w:after="0" w:line="240" w:lineRule="auto"/>
        <w:ind w:right="-109"/>
        <w:jc w:val="both"/>
        <w:rPr>
          <w:sz w:val="28"/>
          <w:szCs w:val="28"/>
        </w:rPr>
      </w:pPr>
      <w:r>
        <w:rPr>
          <w:sz w:val="28"/>
          <w:szCs w:val="28"/>
        </w:rPr>
        <w:t xml:space="preserve">девальвация доллара на 7,89% и повышение официальной цены золота на 8,57% (с 35 до 38 долл. за унцию); </w:t>
      </w:r>
    </w:p>
    <w:p w:rsidR="00FB15CE" w:rsidRDefault="00FB15CE">
      <w:pPr>
        <w:pStyle w:val="21"/>
        <w:numPr>
          <w:ilvl w:val="0"/>
          <w:numId w:val="7"/>
        </w:numPr>
        <w:tabs>
          <w:tab w:val="num" w:pos="1211"/>
        </w:tabs>
        <w:spacing w:after="0" w:line="240" w:lineRule="auto"/>
        <w:ind w:right="-109"/>
        <w:jc w:val="both"/>
        <w:rPr>
          <w:sz w:val="28"/>
          <w:szCs w:val="28"/>
        </w:rPr>
      </w:pPr>
      <w:r>
        <w:rPr>
          <w:sz w:val="28"/>
          <w:szCs w:val="28"/>
        </w:rPr>
        <w:t>ревальвация ряда валют;</w:t>
      </w:r>
    </w:p>
    <w:p w:rsidR="00FB15CE" w:rsidRDefault="00FB15CE">
      <w:pPr>
        <w:pStyle w:val="21"/>
        <w:numPr>
          <w:ilvl w:val="0"/>
          <w:numId w:val="7"/>
        </w:numPr>
        <w:tabs>
          <w:tab w:val="num" w:pos="1211"/>
        </w:tabs>
        <w:spacing w:after="0" w:line="240" w:lineRule="auto"/>
        <w:ind w:right="-109"/>
        <w:jc w:val="both"/>
        <w:rPr>
          <w:sz w:val="28"/>
          <w:szCs w:val="28"/>
        </w:rPr>
      </w:pPr>
      <w:r>
        <w:rPr>
          <w:sz w:val="28"/>
          <w:szCs w:val="28"/>
        </w:rPr>
        <w:t xml:space="preserve">расширение пределов колебаний валютных курсов с </w:t>
      </w:r>
      <w:r>
        <w:rPr>
          <w:sz w:val="28"/>
          <w:szCs w:val="28"/>
          <w:vertAlign w:val="superscript"/>
        </w:rPr>
        <w:t>+</w:t>
      </w:r>
      <w:r>
        <w:rPr>
          <w:sz w:val="28"/>
          <w:szCs w:val="28"/>
        </w:rPr>
        <w:t xml:space="preserve">/-1 до </w:t>
      </w:r>
      <w:r>
        <w:rPr>
          <w:sz w:val="28"/>
          <w:szCs w:val="28"/>
          <w:vertAlign w:val="superscript"/>
        </w:rPr>
        <w:t>+</w:t>
      </w:r>
      <w:r>
        <w:rPr>
          <w:sz w:val="28"/>
          <w:szCs w:val="28"/>
        </w:rPr>
        <w:t>/-2,25% от их паритетов и установление центральных курсов вместо валютных паритетов;</w:t>
      </w:r>
    </w:p>
    <w:p w:rsidR="00FB15CE" w:rsidRDefault="00FB15CE">
      <w:pPr>
        <w:pStyle w:val="21"/>
        <w:numPr>
          <w:ilvl w:val="0"/>
          <w:numId w:val="7"/>
        </w:numPr>
        <w:tabs>
          <w:tab w:val="num" w:pos="1211"/>
        </w:tabs>
        <w:spacing w:after="0" w:line="240" w:lineRule="auto"/>
        <w:ind w:right="-109"/>
        <w:jc w:val="both"/>
        <w:rPr>
          <w:sz w:val="28"/>
          <w:szCs w:val="28"/>
        </w:rPr>
      </w:pPr>
      <w:r>
        <w:rPr>
          <w:sz w:val="28"/>
          <w:szCs w:val="28"/>
        </w:rPr>
        <w:t>отмена 10%-ной таможенной пошлины в США.</w:t>
      </w:r>
    </w:p>
    <w:p w:rsidR="00FB15CE" w:rsidRDefault="00FB15CE">
      <w:pPr>
        <w:pStyle w:val="21"/>
        <w:spacing w:after="0" w:line="240" w:lineRule="auto"/>
        <w:ind w:right="-109" w:firstLine="720"/>
        <w:jc w:val="both"/>
        <w:rPr>
          <w:sz w:val="28"/>
          <w:szCs w:val="28"/>
        </w:rPr>
      </w:pPr>
      <w:r>
        <w:rPr>
          <w:sz w:val="28"/>
          <w:szCs w:val="28"/>
        </w:rPr>
        <w:t>Но США не взяли обязательства восстановить конвертируемость доллара в золото и участвовать в валютной интервенции. Тем самым они сохранили привилегированный статус доллара, ныне материально не подкрепленный.</w:t>
      </w:r>
    </w:p>
    <w:p w:rsidR="00FB15CE" w:rsidRDefault="00FB15CE">
      <w:pPr>
        <w:pStyle w:val="3"/>
        <w:ind w:right="-109"/>
        <w:rPr>
          <w:b/>
          <w:bCs/>
        </w:rPr>
      </w:pPr>
      <w:bookmarkStart w:id="11" w:name="_Toc482643801"/>
    </w:p>
    <w:p w:rsidR="00FB15CE" w:rsidRDefault="00FB15CE">
      <w:pPr>
        <w:pStyle w:val="3"/>
        <w:ind w:right="-109"/>
      </w:pPr>
      <w:r>
        <w:t>Девальвация доллара в феврале 1973 г.</w:t>
      </w:r>
      <w:bookmarkEnd w:id="11"/>
    </w:p>
    <w:p w:rsidR="00FB15CE" w:rsidRDefault="00FB15CE">
      <w:pPr>
        <w:pStyle w:val="21"/>
        <w:spacing w:after="0" w:line="240" w:lineRule="auto"/>
        <w:ind w:right="-109" w:firstLine="720"/>
        <w:jc w:val="both"/>
        <w:rPr>
          <w:sz w:val="28"/>
          <w:szCs w:val="28"/>
        </w:rPr>
      </w:pPr>
    </w:p>
    <w:p w:rsidR="00FB15CE" w:rsidRDefault="00FB15CE">
      <w:pPr>
        <w:pStyle w:val="21"/>
        <w:spacing w:after="0" w:line="240" w:lineRule="auto"/>
        <w:ind w:right="-109" w:firstLine="720"/>
        <w:jc w:val="both"/>
        <w:rPr>
          <w:sz w:val="28"/>
          <w:szCs w:val="28"/>
        </w:rPr>
      </w:pPr>
      <w:r>
        <w:rPr>
          <w:sz w:val="28"/>
          <w:szCs w:val="28"/>
        </w:rPr>
        <w:t>В феврале-марте 1973 г. валютный кризис вновь обрушился на доллар. Толчком явилась неустойчивость итальянской лиры, что привело к введению в Италии двойного валютного рынка (с 22 января 1973 г. по 22 марта 1974 г.) по примеру Бельгии и Франции. «Золотая лихорадка» и повышение рыночной цены золота вновь обнажили слабость доллара. Однако в отличие от 1971 г. США не удалось добиться ревальвации валют стран Западной Европы и Японии. 12 февраля 1973 г. была проведена повторная девальвация доллара на 10% и повышена официальная цена золота на 11,1% (с 38 до 42,22 долл. за унцию). Массовая продажа долларов привела к закрытию ведущих валютных рынков (со 2 по 19 марта). Новый консенсус — переход к плавающим валютным курсам с марта 1973 г. — выправил «курсовые перекосы» и снял напряжение на валютных рынках.</w:t>
      </w:r>
    </w:p>
    <w:p w:rsidR="00FB15CE" w:rsidRDefault="00FB15CE">
      <w:pPr>
        <w:pStyle w:val="21"/>
        <w:spacing w:after="0" w:line="240" w:lineRule="auto"/>
        <w:ind w:right="-109" w:firstLine="720"/>
        <w:jc w:val="both"/>
        <w:rPr>
          <w:sz w:val="28"/>
          <w:szCs w:val="28"/>
        </w:rPr>
      </w:pPr>
      <w:r>
        <w:rPr>
          <w:sz w:val="28"/>
          <w:szCs w:val="28"/>
        </w:rPr>
        <w:t xml:space="preserve">Шесть стран «Общего рынка» отменили внешние пределы согласованных колебаний курсов своих валют («туннель») к доллару и другим валютам. Открепление «европейской валютной змеи» от доллара привело к возникновению своеобразной валютной зоны во главе с маркой ФРГ. Это свидетельствовало о формировании западноевропейской зоны валютной стабильности в противовес нестабильному доллару, что ускорило распад Бреттонвудской системы. </w:t>
      </w:r>
    </w:p>
    <w:p w:rsidR="00FB15CE" w:rsidRDefault="00FB15CE">
      <w:pPr>
        <w:pStyle w:val="21"/>
        <w:spacing w:after="0" w:line="240" w:lineRule="auto"/>
        <w:ind w:right="-109" w:firstLine="720"/>
        <w:jc w:val="both"/>
        <w:rPr>
          <w:sz w:val="28"/>
          <w:szCs w:val="28"/>
        </w:rPr>
      </w:pPr>
      <w:r>
        <w:rPr>
          <w:sz w:val="28"/>
          <w:szCs w:val="28"/>
        </w:rPr>
        <w:t>Повышение цен на нефть в конце 1973 г. привело к увеличению дефицита платежных балансов по текущим операциям промышленно развитых стран. Резко упал курс валют стран Западной Европы и Японии. Произошло временное повышение курса доллара, так как США были лучше обеспечены энергоресурсами, чем их конкуренты, и проявилось, хотя и не сразу, положительное влияние двух его девальваций на платежный баланс страны. Валютный кризис переплелся с мировым экономическим кризисом в 1974-1975 гг., что усилило колебание курсовых соотношений (до 20% в год в конце 70-х годов). Курс доллара падал на протяжении 70-х годов, за исключением кратковременных периодов его повышения. Покрывая национальной валютой дефицит текущих операций платежного баланса, США способствовали накачиванию в международный оборот долларов (8,9 млрд. — в 1950 г., 292,5 — в 1980 г.). В результате другие страны стали «кредиторами поневоле» по отношению к США</w:t>
      </w:r>
    </w:p>
    <w:p w:rsidR="00FB15CE" w:rsidRDefault="00FB15CE">
      <w:pPr>
        <w:pStyle w:val="21"/>
        <w:spacing w:after="0" w:line="240" w:lineRule="auto"/>
        <w:ind w:right="-109" w:firstLine="720"/>
        <w:jc w:val="both"/>
        <w:rPr>
          <w:sz w:val="28"/>
          <w:szCs w:val="28"/>
        </w:rPr>
      </w:pPr>
    </w:p>
    <w:p w:rsidR="00FB15CE" w:rsidRDefault="00FB15CE">
      <w:pPr>
        <w:pStyle w:val="21"/>
        <w:spacing w:after="0" w:line="240" w:lineRule="auto"/>
        <w:ind w:right="-109" w:firstLine="720"/>
        <w:jc w:val="both"/>
        <w:rPr>
          <w:sz w:val="28"/>
          <w:szCs w:val="28"/>
        </w:rPr>
      </w:pPr>
    </w:p>
    <w:p w:rsidR="00FB15CE" w:rsidRDefault="00FB15CE">
      <w:pPr>
        <w:pStyle w:val="2"/>
        <w:ind w:right="-109"/>
      </w:pPr>
      <w:bookmarkStart w:id="12" w:name="_Toc482643803"/>
      <w:r>
        <w:t>2.4 Особенности и экономические последствия кризиса Бреттонвудской валютной системы.</w:t>
      </w:r>
      <w:bookmarkEnd w:id="12"/>
    </w:p>
    <w:p w:rsidR="00FB15CE" w:rsidRDefault="00FB15CE"/>
    <w:p w:rsidR="00FB15CE" w:rsidRDefault="00FB15CE">
      <w:pPr>
        <w:pStyle w:val="21"/>
        <w:spacing w:after="0" w:line="240" w:lineRule="auto"/>
        <w:ind w:right="-109" w:firstLine="720"/>
        <w:jc w:val="both"/>
        <w:rPr>
          <w:sz w:val="28"/>
          <w:szCs w:val="28"/>
        </w:rPr>
      </w:pPr>
      <w:r>
        <w:rPr>
          <w:sz w:val="28"/>
          <w:szCs w:val="28"/>
        </w:rPr>
        <w:t>Между валютными кризисами 1929-1933 гг. и 1967-1976 гг. имеется определенное сходство. Эти структурные кризисы мировой валютной системы охватили все страны, приняли затяжной характер и привели к нарушению ее принципов. Однако кризис Бреттонвудской системы имеет ряд особенностей.</w:t>
      </w:r>
    </w:p>
    <w:p w:rsidR="00FB15CE" w:rsidRDefault="00FB15CE">
      <w:pPr>
        <w:pStyle w:val="21"/>
        <w:numPr>
          <w:ilvl w:val="0"/>
          <w:numId w:val="8"/>
        </w:numPr>
        <w:spacing w:after="0" w:line="240" w:lineRule="auto"/>
        <w:ind w:right="-109"/>
        <w:jc w:val="both"/>
        <w:rPr>
          <w:sz w:val="28"/>
          <w:szCs w:val="28"/>
        </w:rPr>
      </w:pPr>
      <w:r>
        <w:rPr>
          <w:sz w:val="28"/>
          <w:szCs w:val="28"/>
        </w:rPr>
        <w:t>Переплетение циклического и специального валютных кризисов. Кризис Бреттонвудской валютной системы сочетался не только с мировыми экономическими кризисами, но и с периодическим оживлением и подъемом экономики.</w:t>
      </w:r>
    </w:p>
    <w:p w:rsidR="00FB15CE" w:rsidRDefault="00FB15CE">
      <w:pPr>
        <w:pStyle w:val="21"/>
        <w:numPr>
          <w:ilvl w:val="0"/>
          <w:numId w:val="8"/>
        </w:numPr>
        <w:spacing w:after="0" w:line="240" w:lineRule="auto"/>
        <w:ind w:right="-109"/>
        <w:jc w:val="both"/>
        <w:rPr>
          <w:sz w:val="28"/>
          <w:szCs w:val="28"/>
        </w:rPr>
      </w:pPr>
      <w:r>
        <w:rPr>
          <w:sz w:val="28"/>
          <w:szCs w:val="28"/>
        </w:rPr>
        <w:t>Активная роль ТНК в развитии валютного кризиса. ТНК сосредоточили 40% промышленного производства, 60% внешней торговли, 80% разрабатываемой технологии Запада. Крупные валютные активы и масштабы евровалютных, особенно евродолларовых, операций ТНК придали кризису Бреттонвудской системы огромный размах и глубину.</w:t>
      </w:r>
    </w:p>
    <w:p w:rsidR="00FB15CE" w:rsidRDefault="00FB15CE">
      <w:pPr>
        <w:pStyle w:val="21"/>
        <w:numPr>
          <w:ilvl w:val="0"/>
          <w:numId w:val="8"/>
        </w:numPr>
        <w:spacing w:after="0" w:line="240" w:lineRule="auto"/>
        <w:ind w:right="-109"/>
        <w:jc w:val="both"/>
        <w:rPr>
          <w:sz w:val="28"/>
          <w:szCs w:val="28"/>
        </w:rPr>
      </w:pPr>
      <w:r>
        <w:rPr>
          <w:sz w:val="28"/>
          <w:szCs w:val="28"/>
        </w:rPr>
        <w:t>Дезорганизующая роль США. Используя привилегированное положение доллара как резервной валюты для покрытия дефицита своего платежного баланса, США наводнили долларами страны Западной Европы и Японию, вызывая нарушения в их экономике, усиление инфляции, нестабильность валют, что углубило межгосударственные противоречия.</w:t>
      </w:r>
    </w:p>
    <w:p w:rsidR="00FB15CE" w:rsidRDefault="00FB15CE">
      <w:pPr>
        <w:pStyle w:val="21"/>
        <w:numPr>
          <w:ilvl w:val="0"/>
          <w:numId w:val="8"/>
        </w:numPr>
        <w:spacing w:after="0" w:line="240" w:lineRule="auto"/>
        <w:ind w:right="-109"/>
        <w:jc w:val="both"/>
        <w:rPr>
          <w:sz w:val="28"/>
          <w:szCs w:val="28"/>
        </w:rPr>
      </w:pPr>
      <w:r>
        <w:rPr>
          <w:sz w:val="28"/>
          <w:szCs w:val="28"/>
        </w:rPr>
        <w:t xml:space="preserve">Возникновение трех центров силы. Структурные принципы Бреттонвудской системы, установленные в период безраздельного господства США, перестали соответствовать новой расстановке сил в мире. Страны Западной Европы, особенно </w:t>
      </w:r>
      <w:bookmarkStart w:id="13" w:name="ЕС"/>
      <w:bookmarkEnd w:id="13"/>
      <w:r>
        <w:rPr>
          <w:sz w:val="28"/>
          <w:szCs w:val="28"/>
        </w:rPr>
        <w:t>ЕС, создают, собственный центр валютной силы в противовес гегемонии доллара, а Япония использует иену как резервную валюту в азиатском регионе.</w:t>
      </w:r>
    </w:p>
    <w:p w:rsidR="00FB15CE" w:rsidRDefault="00FB15CE">
      <w:pPr>
        <w:pStyle w:val="21"/>
        <w:numPr>
          <w:ilvl w:val="0"/>
          <w:numId w:val="8"/>
        </w:numPr>
        <w:spacing w:after="0" w:line="240" w:lineRule="auto"/>
        <w:ind w:right="-109"/>
        <w:jc w:val="both"/>
        <w:rPr>
          <w:sz w:val="28"/>
          <w:szCs w:val="28"/>
        </w:rPr>
      </w:pPr>
      <w:r>
        <w:rPr>
          <w:sz w:val="28"/>
          <w:szCs w:val="28"/>
        </w:rPr>
        <w:t>Волнообразное развитие валютного кризиса, о чем свидетельствуют рассмотренные выше этапы его развития.</w:t>
      </w:r>
    </w:p>
    <w:p w:rsidR="00FB15CE" w:rsidRDefault="00FB15CE">
      <w:pPr>
        <w:pStyle w:val="21"/>
        <w:numPr>
          <w:ilvl w:val="0"/>
          <w:numId w:val="8"/>
        </w:numPr>
        <w:spacing w:after="0" w:line="240" w:lineRule="auto"/>
        <w:ind w:right="-109"/>
        <w:jc w:val="both"/>
        <w:rPr>
          <w:sz w:val="28"/>
          <w:szCs w:val="28"/>
        </w:rPr>
      </w:pPr>
      <w:r>
        <w:rPr>
          <w:sz w:val="28"/>
          <w:szCs w:val="28"/>
        </w:rPr>
        <w:t>Массовые девальвации валют и периодические ревальвации отдельных валют. Сравнение девальваций 60-70-х годов и 1949 г. позволяет выявить их различия по следующим показателям:</w:t>
      </w:r>
    </w:p>
    <w:p w:rsidR="00FB15CE" w:rsidRDefault="00FB15CE">
      <w:pPr>
        <w:pStyle w:val="21"/>
        <w:numPr>
          <w:ilvl w:val="0"/>
          <w:numId w:val="9"/>
        </w:numPr>
        <w:spacing w:after="0" w:line="240" w:lineRule="auto"/>
        <w:ind w:right="-109"/>
        <w:jc w:val="both"/>
        <w:rPr>
          <w:sz w:val="28"/>
          <w:szCs w:val="28"/>
        </w:rPr>
      </w:pPr>
      <w:r>
        <w:rPr>
          <w:sz w:val="28"/>
          <w:szCs w:val="28"/>
        </w:rPr>
        <w:t>масштабы: в 1967-1973 гг. неоднократные девальвации охватили сотни валют (против 37 в 1949 г.), в том числе дважды доллар — резервную валюту;</w:t>
      </w:r>
    </w:p>
    <w:p w:rsidR="00FB15CE" w:rsidRDefault="00FB15CE">
      <w:pPr>
        <w:pStyle w:val="21"/>
        <w:numPr>
          <w:ilvl w:val="0"/>
          <w:numId w:val="9"/>
        </w:numPr>
        <w:spacing w:after="0" w:line="240" w:lineRule="auto"/>
        <w:ind w:right="-109"/>
        <w:jc w:val="both"/>
        <w:rPr>
          <w:sz w:val="28"/>
          <w:szCs w:val="28"/>
        </w:rPr>
      </w:pPr>
      <w:r>
        <w:rPr>
          <w:sz w:val="28"/>
          <w:szCs w:val="28"/>
        </w:rPr>
        <w:t>размер: в 60-70-х годах размеры девальваций (в среднем 8-15%) были значительно меньше, чем в 1949 г. (до 30,5%) и после первой мировой войны (до 80%). Преобладание небольших девальваций без запаса прочности обусловлено опасением стран вызвать цепную реакцию в связи с возросшей интернационализацией хозяйственных связей;</w:t>
      </w:r>
    </w:p>
    <w:p w:rsidR="00FB15CE" w:rsidRDefault="00FB15CE">
      <w:pPr>
        <w:pStyle w:val="21"/>
        <w:numPr>
          <w:ilvl w:val="0"/>
          <w:numId w:val="9"/>
        </w:numPr>
        <w:spacing w:after="0" w:line="240" w:lineRule="auto"/>
        <w:ind w:right="-109"/>
        <w:jc w:val="both"/>
        <w:rPr>
          <w:sz w:val="28"/>
          <w:szCs w:val="28"/>
        </w:rPr>
      </w:pPr>
      <w:r>
        <w:rPr>
          <w:sz w:val="28"/>
          <w:szCs w:val="28"/>
        </w:rPr>
        <w:t>продолжительность: в 60-70-х годах девальвации растянулись на ряд лет, как и в 30-х годах, а в 1949 г. это мероприятие было проведено почти одно</w:t>
      </w:r>
      <w:r>
        <w:rPr>
          <w:sz w:val="28"/>
          <w:szCs w:val="28"/>
        </w:rPr>
        <w:softHyphen/>
        <w:t>временно в 37 странах;</w:t>
      </w:r>
    </w:p>
    <w:p w:rsidR="00FB15CE" w:rsidRDefault="00FB15CE">
      <w:pPr>
        <w:pStyle w:val="21"/>
        <w:numPr>
          <w:ilvl w:val="0"/>
          <w:numId w:val="9"/>
        </w:numPr>
        <w:spacing w:after="0" w:line="240" w:lineRule="auto"/>
        <w:ind w:right="-109"/>
        <w:jc w:val="both"/>
        <w:rPr>
          <w:sz w:val="28"/>
          <w:szCs w:val="28"/>
        </w:rPr>
      </w:pPr>
      <w:r>
        <w:rPr>
          <w:sz w:val="28"/>
          <w:szCs w:val="28"/>
        </w:rPr>
        <w:t>порядок проведения: девальвации осуществляются не только юридически, но и фактически в связи с ревальвацией в условиях плавающих валютных курсов. А в 1949 г. в период послевоенной разрухи вопрос о ревальвации даже не поднимался и господствовал режим фиксированных валютных курсов.</w:t>
      </w:r>
    </w:p>
    <w:p w:rsidR="00FB15CE" w:rsidRDefault="00FB15CE">
      <w:pPr>
        <w:pStyle w:val="21"/>
        <w:numPr>
          <w:ilvl w:val="0"/>
          <w:numId w:val="8"/>
        </w:numPr>
        <w:spacing w:after="0" w:line="240" w:lineRule="auto"/>
        <w:ind w:right="-109"/>
        <w:jc w:val="both"/>
        <w:rPr>
          <w:sz w:val="28"/>
          <w:szCs w:val="28"/>
        </w:rPr>
      </w:pPr>
      <w:r>
        <w:rPr>
          <w:sz w:val="28"/>
          <w:szCs w:val="28"/>
        </w:rPr>
        <w:t xml:space="preserve">Структурный характер кризиса мировой валютной системы. С крушением Бреттонвудской системы были отменены ее структурные принципы: прекращен размен долларов на золото, отменены официальная цена золота и золотые паритеты, прекращены межгосударственные расчеты золотом, введен режим плавающих валютных курсов, доллар и фунт стерлингов официально утратили статус резервных валют. На эту роль стали выдвигаться марка ФРГ и японская иена. Стали использовать первоначальные формы мировых кредитных денег — </w:t>
      </w:r>
      <w:bookmarkStart w:id="14" w:name="ЭКЮ"/>
      <w:bookmarkEnd w:id="14"/>
      <w:r>
        <w:rPr>
          <w:sz w:val="28"/>
          <w:szCs w:val="28"/>
        </w:rPr>
        <w:t>СДР, ЭКЮ.</w:t>
      </w:r>
    </w:p>
    <w:p w:rsidR="00FB15CE" w:rsidRDefault="00FB15CE">
      <w:pPr>
        <w:pStyle w:val="21"/>
        <w:numPr>
          <w:ilvl w:val="0"/>
          <w:numId w:val="8"/>
        </w:numPr>
        <w:spacing w:after="0" w:line="240" w:lineRule="auto"/>
        <w:ind w:right="-109"/>
        <w:jc w:val="both"/>
        <w:rPr>
          <w:sz w:val="28"/>
          <w:szCs w:val="28"/>
        </w:rPr>
      </w:pPr>
      <w:r>
        <w:rPr>
          <w:sz w:val="28"/>
          <w:szCs w:val="28"/>
        </w:rPr>
        <w:t>Влияние государственного валютного регулирования. С одной стороны, оно способствует обострению противоречий в валютной сфере; с другой — регулированию на национальном и межгосударственном уровнях с целью смягчения последствий валютного кризиса и поиска выхода из него путем валютной реформы.</w:t>
      </w:r>
    </w:p>
    <w:p w:rsidR="00FB15CE" w:rsidRDefault="00FB15CE">
      <w:pPr>
        <w:pStyle w:val="21"/>
        <w:spacing w:after="0" w:line="240" w:lineRule="auto"/>
        <w:ind w:right="-109" w:firstLine="720"/>
        <w:jc w:val="both"/>
        <w:rPr>
          <w:sz w:val="28"/>
          <w:szCs w:val="28"/>
        </w:rPr>
      </w:pPr>
      <w:r>
        <w:rPr>
          <w:sz w:val="28"/>
          <w:szCs w:val="28"/>
        </w:rPr>
        <w:t>Валютный кризис, дезорганизуя экономику, затрудняя внешнюю торговлю, усиливая нестабильность валют, порождает тяжелые социально-экономические последствия. Это проявляется в увеличении безработицы, замораживании заработной платы, росте дороговизны. Ревальвация сопровождается уменьшением занятости в экспортных отраслях, а девальвация, удорожая импорт, способствует росту цен в стране. Центробежной тенденции, отражающей межгосударственные разногласия, противостоит тенденция к валютному сотрудничеству.</w:t>
      </w:r>
    </w:p>
    <w:p w:rsidR="00FB15CE" w:rsidRDefault="00FB15CE">
      <w:pPr>
        <w:pStyle w:val="a8"/>
        <w:spacing w:line="240" w:lineRule="auto"/>
        <w:ind w:right="-109"/>
      </w:pPr>
      <w:r>
        <w:br w:type="page"/>
      </w:r>
    </w:p>
    <w:p w:rsidR="00FB15CE" w:rsidRDefault="00FB15CE">
      <w:pPr>
        <w:pStyle w:val="5"/>
      </w:pPr>
      <w:r>
        <w:t>Список использованной литературы</w:t>
      </w:r>
    </w:p>
    <w:p w:rsidR="00FB15CE" w:rsidRDefault="00FB15CE">
      <w:pPr>
        <w:rPr>
          <w:sz w:val="28"/>
          <w:szCs w:val="28"/>
        </w:rPr>
      </w:pPr>
    </w:p>
    <w:p w:rsidR="00FB15CE" w:rsidRDefault="00FB15CE">
      <w:pPr>
        <w:numPr>
          <w:ilvl w:val="0"/>
          <w:numId w:val="1"/>
        </w:numPr>
        <w:rPr>
          <w:sz w:val="28"/>
          <w:szCs w:val="28"/>
        </w:rPr>
      </w:pPr>
      <w:r>
        <w:rPr>
          <w:sz w:val="28"/>
          <w:szCs w:val="28"/>
        </w:rPr>
        <w:t xml:space="preserve">Закон РФ «О валютном регулировании и валютном контроле» от 09.10.1992 г. № 3615-1 в редакции Федеральных законов от 29.12.1998 г. № 192-ФЗ и от 05.07.1999 г. № 128-ФЗ </w:t>
      </w:r>
    </w:p>
    <w:p w:rsidR="00FB15CE" w:rsidRDefault="00FB15CE">
      <w:pPr>
        <w:numPr>
          <w:ilvl w:val="0"/>
          <w:numId w:val="1"/>
        </w:numPr>
        <w:rPr>
          <w:sz w:val="28"/>
          <w:szCs w:val="28"/>
        </w:rPr>
      </w:pPr>
      <w:r>
        <w:rPr>
          <w:sz w:val="28"/>
          <w:szCs w:val="28"/>
        </w:rPr>
        <w:t>Постановление Правительства РФ «Об усилении валютного и экспортного контроля и о развитии валютного рынка» от 06.03.1993 г. № 205 // «Собрание актов Президента и Правительства РФ» от 15.03.1993 г. № 11, ст. 940</w:t>
      </w:r>
    </w:p>
    <w:p w:rsidR="00FB15CE" w:rsidRDefault="00FB15CE">
      <w:pPr>
        <w:numPr>
          <w:ilvl w:val="0"/>
          <w:numId w:val="1"/>
        </w:numPr>
        <w:rPr>
          <w:sz w:val="28"/>
          <w:szCs w:val="28"/>
        </w:rPr>
      </w:pPr>
      <w:r>
        <w:rPr>
          <w:sz w:val="28"/>
          <w:szCs w:val="28"/>
        </w:rPr>
        <w:t>Постановление Правительства РФ «Вопросы Федеральной службы России по валютному и экспортному контролю» от 16.06.1993 г. № 560 // «Собрание актов Президента и Правительства РФ» от 21.06.1993 г. № 25, ст. 2394</w:t>
      </w:r>
    </w:p>
    <w:p w:rsidR="00FB15CE" w:rsidRDefault="00FB15CE">
      <w:pPr>
        <w:numPr>
          <w:ilvl w:val="0"/>
          <w:numId w:val="1"/>
        </w:numPr>
        <w:rPr>
          <w:sz w:val="28"/>
          <w:szCs w:val="28"/>
        </w:rPr>
      </w:pPr>
      <w:r>
        <w:rPr>
          <w:sz w:val="28"/>
          <w:szCs w:val="28"/>
        </w:rPr>
        <w:t>Инструкция ЦБ РФ «О порядке открытия и ведения уполномоченными банками счетов нерезидентов в валюте РФ» от 16.07.1993 г. № 16 // «Финансовая газета» за 1993 г. № 31</w:t>
      </w:r>
    </w:p>
    <w:p w:rsidR="00FB15CE" w:rsidRDefault="00FB15CE">
      <w:pPr>
        <w:numPr>
          <w:ilvl w:val="0"/>
          <w:numId w:val="1"/>
        </w:numPr>
        <w:rPr>
          <w:sz w:val="28"/>
          <w:szCs w:val="28"/>
        </w:rPr>
      </w:pPr>
      <w:r>
        <w:rPr>
          <w:sz w:val="28"/>
          <w:szCs w:val="28"/>
        </w:rPr>
        <w:t>Положение ЦБ РФ «О порядке установления ЦБ РФ официальных курсов иностранных валют к рублю РФ» от 31.12.1998 г. № 66-П // Документ опубликован не был, правовая система «КонсультантПлюс»</w:t>
      </w:r>
    </w:p>
    <w:p w:rsidR="00FB15CE" w:rsidRDefault="00FB15CE">
      <w:pPr>
        <w:numPr>
          <w:ilvl w:val="0"/>
          <w:numId w:val="1"/>
        </w:numPr>
        <w:rPr>
          <w:sz w:val="28"/>
          <w:szCs w:val="28"/>
        </w:rPr>
      </w:pPr>
      <w:r>
        <w:rPr>
          <w:sz w:val="28"/>
          <w:szCs w:val="28"/>
        </w:rPr>
        <w:t>Письмо ЦБ РФ «О нормах вывоза и ввоза наличной валюты РФ физическими лицами (резидентами и нерезидентами)» от 19.09.1996 г. № 331 // «БНА ФОИВ» № 8 за 1996 г.</w:t>
      </w:r>
    </w:p>
    <w:p w:rsidR="00FB15CE" w:rsidRDefault="00FB15CE">
      <w:pPr>
        <w:pStyle w:val="23"/>
      </w:pPr>
      <w:r>
        <w:t>7. Международные валютно-кредитные и финансовые отношения: Учебник/Под ред. Л.Н.Красавиной. — М.:Финансы и статистика, 1994. — 592 с.: ил.</w:t>
      </w:r>
    </w:p>
    <w:p w:rsidR="00FB15CE" w:rsidRDefault="00FB15CE">
      <w:pPr>
        <w:ind w:left="360" w:hanging="360"/>
        <w:jc w:val="both"/>
      </w:pPr>
      <w:r>
        <w:rPr>
          <w:sz w:val="28"/>
          <w:szCs w:val="28"/>
        </w:rPr>
        <w:t>8. Курс экономики: Учебник.— 2-е изд., доп./Под ред. Райзберга Б.А..— М.:ИНФРА-М, 1999. — 716 с.</w:t>
      </w:r>
    </w:p>
    <w:p w:rsidR="00FB15CE" w:rsidRDefault="00FB15CE">
      <w:pPr>
        <w:rPr>
          <w:sz w:val="28"/>
          <w:szCs w:val="28"/>
        </w:rPr>
      </w:pPr>
    </w:p>
    <w:p w:rsidR="00FB15CE" w:rsidRDefault="00FB15CE">
      <w:pPr>
        <w:pStyle w:val="a3"/>
        <w:tabs>
          <w:tab w:val="clear" w:pos="4153"/>
          <w:tab w:val="clear" w:pos="8306"/>
        </w:tabs>
      </w:pPr>
      <w:bookmarkStart w:id="15" w:name="_GoBack"/>
      <w:bookmarkEnd w:id="15"/>
    </w:p>
    <w:sectPr w:rsidR="00FB15CE">
      <w:headerReference w:type="default" r:id="rId7"/>
      <w:type w:val="continuous"/>
      <w:pgSz w:w="11906" w:h="16838" w:code="9"/>
      <w:pgMar w:top="1077" w:right="1134" w:bottom="1134" w:left="1701" w:header="357"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A59" w:rsidRDefault="00765A59">
      <w:r>
        <w:separator/>
      </w:r>
    </w:p>
  </w:endnote>
  <w:endnote w:type="continuationSeparator" w:id="0">
    <w:p w:rsidR="00765A59" w:rsidRDefault="0076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A59" w:rsidRDefault="00765A59">
      <w:r>
        <w:separator/>
      </w:r>
    </w:p>
  </w:footnote>
  <w:footnote w:type="continuationSeparator" w:id="0">
    <w:p w:rsidR="00765A59" w:rsidRDefault="00765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5CE" w:rsidRDefault="0002292D">
    <w:pPr>
      <w:pStyle w:val="a3"/>
      <w:tabs>
        <w:tab w:val="clear" w:pos="8306"/>
        <w:tab w:val="right" w:pos="8460"/>
      </w:tabs>
      <w:ind w:left="5759" w:right="-109" w:firstLine="2701"/>
    </w:pPr>
    <w:r>
      <w:rPr>
        <w:rStyle w:val="a7"/>
        <w:noProof/>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141BA"/>
    <w:multiLevelType w:val="singleLevel"/>
    <w:tmpl w:val="03786786"/>
    <w:lvl w:ilvl="0">
      <w:start w:val="1"/>
      <w:numFmt w:val="decimal"/>
      <w:lvlText w:val="%1."/>
      <w:lvlJc w:val="left"/>
      <w:pPr>
        <w:tabs>
          <w:tab w:val="num" w:pos="927"/>
        </w:tabs>
        <w:ind w:firstLine="567"/>
      </w:pPr>
    </w:lvl>
  </w:abstractNum>
  <w:abstractNum w:abstractNumId="1">
    <w:nsid w:val="184C6389"/>
    <w:multiLevelType w:val="singleLevel"/>
    <w:tmpl w:val="03786786"/>
    <w:lvl w:ilvl="0">
      <w:start w:val="1"/>
      <w:numFmt w:val="decimal"/>
      <w:lvlText w:val="%1."/>
      <w:lvlJc w:val="left"/>
      <w:pPr>
        <w:tabs>
          <w:tab w:val="num" w:pos="927"/>
        </w:tabs>
        <w:ind w:firstLine="567"/>
      </w:pPr>
    </w:lvl>
  </w:abstractNum>
  <w:abstractNum w:abstractNumId="2">
    <w:nsid w:val="2F563A28"/>
    <w:multiLevelType w:val="singleLevel"/>
    <w:tmpl w:val="03786786"/>
    <w:lvl w:ilvl="0">
      <w:start w:val="1"/>
      <w:numFmt w:val="decimal"/>
      <w:lvlText w:val="%1."/>
      <w:lvlJc w:val="left"/>
      <w:pPr>
        <w:tabs>
          <w:tab w:val="num" w:pos="927"/>
        </w:tabs>
        <w:ind w:firstLine="567"/>
      </w:pPr>
    </w:lvl>
  </w:abstractNum>
  <w:abstractNum w:abstractNumId="3">
    <w:nsid w:val="41952849"/>
    <w:multiLevelType w:val="singleLevel"/>
    <w:tmpl w:val="C8EEFB58"/>
    <w:lvl w:ilvl="0">
      <w:start w:val="1"/>
      <w:numFmt w:val="bullet"/>
      <w:lvlText w:val=""/>
      <w:lvlJc w:val="left"/>
      <w:pPr>
        <w:tabs>
          <w:tab w:val="num" w:pos="927"/>
        </w:tabs>
        <w:ind w:firstLine="567"/>
      </w:pPr>
      <w:rPr>
        <w:rFonts w:ascii="Symbol" w:hAnsi="Symbol" w:cs="Symbol" w:hint="default"/>
        <w:color w:val="auto"/>
      </w:rPr>
    </w:lvl>
  </w:abstractNum>
  <w:abstractNum w:abstractNumId="4">
    <w:nsid w:val="4DB440C2"/>
    <w:multiLevelType w:val="singleLevel"/>
    <w:tmpl w:val="0419000F"/>
    <w:lvl w:ilvl="0">
      <w:start w:val="1"/>
      <w:numFmt w:val="decimal"/>
      <w:lvlText w:val="%1."/>
      <w:lvlJc w:val="left"/>
      <w:pPr>
        <w:tabs>
          <w:tab w:val="num" w:pos="360"/>
        </w:tabs>
        <w:ind w:left="360" w:hanging="360"/>
      </w:pPr>
    </w:lvl>
  </w:abstractNum>
  <w:abstractNum w:abstractNumId="5">
    <w:nsid w:val="5E437AE8"/>
    <w:multiLevelType w:val="singleLevel"/>
    <w:tmpl w:val="E1AC1960"/>
    <w:lvl w:ilvl="0">
      <w:start w:val="1"/>
      <w:numFmt w:val="upperRoman"/>
      <w:lvlText w:val="%1."/>
      <w:lvlJc w:val="left"/>
      <w:pPr>
        <w:tabs>
          <w:tab w:val="num" w:pos="1571"/>
        </w:tabs>
        <w:ind w:firstLine="851"/>
      </w:pPr>
    </w:lvl>
  </w:abstractNum>
  <w:abstractNum w:abstractNumId="6">
    <w:nsid w:val="6E1036F6"/>
    <w:multiLevelType w:val="multilevel"/>
    <w:tmpl w:val="00A87C08"/>
    <w:lvl w:ilvl="0">
      <w:start w:val="2"/>
      <w:numFmt w:val="upperRoman"/>
      <w:lvlText w:val="%1."/>
      <w:lvlJc w:val="left"/>
      <w:pPr>
        <w:tabs>
          <w:tab w:val="num" w:pos="1287"/>
        </w:tabs>
        <w:ind w:firstLine="567"/>
      </w:pPr>
    </w:lvl>
    <w:lvl w:ilvl="1">
      <w:start w:val="1"/>
      <w:numFmt w:val="decimal"/>
      <w:lvlText w:val="%2."/>
      <w:lvlJc w:val="left"/>
      <w:pPr>
        <w:tabs>
          <w:tab w:val="num" w:pos="720"/>
        </w:tabs>
        <w:ind w:firstLine="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2323EB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7A0D25FD"/>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FA24E16"/>
    <w:multiLevelType w:val="singleLevel"/>
    <w:tmpl w:val="5CA21390"/>
    <w:lvl w:ilvl="0">
      <w:start w:val="3"/>
      <w:numFmt w:val="upperRoman"/>
      <w:lvlText w:val="%1."/>
      <w:lvlJc w:val="left"/>
      <w:pPr>
        <w:tabs>
          <w:tab w:val="num" w:pos="1571"/>
        </w:tabs>
        <w:ind w:firstLine="851"/>
      </w:pPr>
    </w:lvl>
  </w:abstractNum>
  <w:num w:numId="1">
    <w:abstractNumId w:val="8"/>
  </w:num>
  <w:num w:numId="2">
    <w:abstractNumId w:val="5"/>
  </w:num>
  <w:num w:numId="3">
    <w:abstractNumId w:val="6"/>
  </w:num>
  <w:num w:numId="4">
    <w:abstractNumId w:val="9"/>
  </w:num>
  <w:num w:numId="5">
    <w:abstractNumId w:val="0"/>
  </w:num>
  <w:num w:numId="6">
    <w:abstractNumId w:val="1"/>
  </w:num>
  <w:num w:numId="7">
    <w:abstractNumId w:val="3"/>
  </w:num>
  <w:num w:numId="8">
    <w:abstractNumId w:val="2"/>
  </w:num>
  <w:num w:numId="9">
    <w:abstractNumId w:val="7"/>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5CE"/>
    <w:rsid w:val="0002292D"/>
    <w:rsid w:val="00394413"/>
    <w:rsid w:val="00485B10"/>
    <w:rsid w:val="00765A59"/>
    <w:rsid w:val="00FB1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6E0C77-75FC-451E-B461-2D2562BD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widowControl w:val="0"/>
      <w:ind w:firstLine="851"/>
      <w:outlineLvl w:val="0"/>
    </w:pPr>
    <w:rPr>
      <w:b/>
      <w:bCs/>
      <w:sz w:val="28"/>
      <w:szCs w:val="28"/>
    </w:rPr>
  </w:style>
  <w:style w:type="paragraph" w:styleId="2">
    <w:name w:val="heading 2"/>
    <w:basedOn w:val="a"/>
    <w:next w:val="a"/>
    <w:link w:val="20"/>
    <w:uiPriority w:val="99"/>
    <w:qFormat/>
    <w:pPr>
      <w:keepNext/>
      <w:keepLines/>
      <w:widowControl w:val="0"/>
      <w:ind w:right="-426" w:firstLine="709"/>
      <w:jc w:val="both"/>
      <w:outlineLvl w:val="1"/>
    </w:pPr>
    <w:rPr>
      <w:b/>
      <w:bCs/>
      <w:sz w:val="28"/>
      <w:szCs w:val="28"/>
    </w:rPr>
  </w:style>
  <w:style w:type="paragraph" w:styleId="3">
    <w:name w:val="heading 3"/>
    <w:basedOn w:val="2"/>
    <w:next w:val="a"/>
    <w:link w:val="30"/>
    <w:uiPriority w:val="99"/>
    <w:qFormat/>
    <w:pPr>
      <w:outlineLvl w:val="2"/>
    </w:pPr>
    <w:rPr>
      <w:b w:val="0"/>
      <w:bCs w:val="0"/>
    </w:rPr>
  </w:style>
  <w:style w:type="paragraph" w:styleId="4">
    <w:name w:val="heading 4"/>
    <w:basedOn w:val="a"/>
    <w:next w:val="a"/>
    <w:link w:val="40"/>
    <w:uiPriority w:val="99"/>
    <w:qFormat/>
    <w:pPr>
      <w:keepNext/>
      <w:outlineLvl w:val="3"/>
    </w:pPr>
    <w:rPr>
      <w:sz w:val="28"/>
      <w:szCs w:val="28"/>
    </w:rPr>
  </w:style>
  <w:style w:type="paragraph" w:styleId="5">
    <w:name w:val="heading 5"/>
    <w:basedOn w:val="a"/>
    <w:next w:val="a"/>
    <w:link w:val="50"/>
    <w:uiPriority w:val="99"/>
    <w:qFormat/>
    <w:pPr>
      <w:keepNext/>
      <w:ind w:left="708" w:firstLine="708"/>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 w:type="paragraph" w:styleId="a8">
    <w:name w:val="Body Text"/>
    <w:basedOn w:val="a"/>
    <w:link w:val="a9"/>
    <w:uiPriority w:val="99"/>
    <w:pPr>
      <w:spacing w:line="360" w:lineRule="auto"/>
      <w:jc w:val="both"/>
    </w:pPr>
    <w:rPr>
      <w:sz w:val="26"/>
      <w:szCs w:val="26"/>
    </w:rPr>
  </w:style>
  <w:style w:type="character" w:customStyle="1" w:styleId="a9">
    <w:name w:val="Основной текст Знак"/>
    <w:link w:val="a8"/>
    <w:uiPriority w:val="99"/>
    <w:semiHidden/>
    <w:rPr>
      <w:sz w:val="20"/>
      <w:szCs w:val="20"/>
    </w:rPr>
  </w:style>
  <w:style w:type="paragraph" w:styleId="31">
    <w:name w:val="Body Text 3"/>
    <w:basedOn w:val="a"/>
    <w:link w:val="32"/>
    <w:uiPriority w:val="99"/>
    <w:pPr>
      <w:jc w:val="both"/>
    </w:pPr>
    <w:rPr>
      <w:sz w:val="24"/>
      <w:szCs w:val="24"/>
    </w:rPr>
  </w:style>
  <w:style w:type="character" w:customStyle="1" w:styleId="32">
    <w:name w:val="Основной текст 3 Знак"/>
    <w:link w:val="31"/>
    <w:uiPriority w:val="99"/>
    <w:semiHidden/>
    <w:rPr>
      <w:sz w:val="16"/>
      <w:szCs w:val="16"/>
    </w:rPr>
  </w:style>
  <w:style w:type="paragraph" w:styleId="21">
    <w:name w:val="Body Text 2"/>
    <w:basedOn w:val="a"/>
    <w:link w:val="22"/>
    <w:uiPriority w:val="99"/>
    <w:rsid w:val="00FB15CE"/>
    <w:pPr>
      <w:spacing w:after="120" w:line="480" w:lineRule="auto"/>
    </w:pPr>
  </w:style>
  <w:style w:type="character" w:customStyle="1" w:styleId="22">
    <w:name w:val="Основной текст 2 Знак"/>
    <w:link w:val="21"/>
    <w:uiPriority w:val="99"/>
    <w:semiHidden/>
    <w:rPr>
      <w:sz w:val="20"/>
      <w:szCs w:val="20"/>
    </w:rPr>
  </w:style>
  <w:style w:type="character" w:styleId="aa">
    <w:name w:val="endnote reference"/>
    <w:uiPriority w:val="99"/>
    <w:semiHidden/>
    <w:rPr>
      <w:sz w:val="22"/>
      <w:szCs w:val="22"/>
      <w:vertAlign w:val="superscript"/>
    </w:rPr>
  </w:style>
  <w:style w:type="paragraph" w:styleId="23">
    <w:name w:val="Body Text Indent 2"/>
    <w:basedOn w:val="a"/>
    <w:link w:val="24"/>
    <w:uiPriority w:val="99"/>
    <w:pPr>
      <w:ind w:left="360" w:hanging="360"/>
      <w:jc w:val="both"/>
    </w:pPr>
    <w:rPr>
      <w:sz w:val="28"/>
      <w:szCs w:val="28"/>
    </w:rPr>
  </w:style>
  <w:style w:type="character" w:customStyle="1" w:styleId="24">
    <w:name w:val="Основной текст с отступом 2 Знак"/>
    <w:link w:val="23"/>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4256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7220</Words>
  <Characters>41154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1</vt:lpstr>
    </vt:vector>
  </TitlesOfParts>
  <Company>DEPFIN</Company>
  <LinksUpToDate>false</LinksUpToDate>
  <CharactersWithSpaces>48278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ПешковАВ</dc:creator>
  <cp:keywords/>
  <dc:description/>
  <cp:lastModifiedBy>admin</cp:lastModifiedBy>
  <cp:revision>2</cp:revision>
  <dcterms:created xsi:type="dcterms:W3CDTF">2014-02-17T17:05:00Z</dcterms:created>
  <dcterms:modified xsi:type="dcterms:W3CDTF">2014-02-17T17:05:00Z</dcterms:modified>
</cp:coreProperties>
</file>