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A8" w:rsidRDefault="00912538">
      <w:pPr>
        <w:spacing w:line="360" w:lineRule="auto"/>
        <w:jc w:val="both"/>
        <w:rPr>
          <w:sz w:val="28"/>
        </w:rPr>
      </w:pPr>
      <w:r>
        <w:rPr>
          <w:noProof/>
          <w:sz w:val="28"/>
        </w:rPr>
        <w:pict>
          <v:rect id="_x0000_s1032" style="position:absolute;left:0;text-align:left;margin-left:56.7pt;margin-top:14.2pt;width:524.4pt;height:785.2pt;z-index:251653120;mso-position-horizontal-relative:page;mso-position-vertical-relative:page" o:allowincell="f" filled="f">
            <w10:wrap anchorx="page" anchory="page"/>
          </v:rect>
        </w:pict>
      </w:r>
      <w:r w:rsidR="00E87BA8">
        <w:rPr>
          <w:sz w:val="28"/>
        </w:rPr>
        <w:tab/>
        <w:t xml:space="preserve">Ракетные двигатели твердого топлива - старейшие среди семейства реактивных двигателей - предельно просты по устройству. У них, по существу, две основные части - камера и реактивное сопло. </w:t>
      </w: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jc w:val="both"/>
        <w:rPr>
          <w:sz w:val="28"/>
        </w:rPr>
      </w:pPr>
    </w:p>
    <w:p w:rsidR="00E87BA8" w:rsidRDefault="00E87BA8">
      <w:pPr>
        <w:spacing w:line="360" w:lineRule="auto"/>
        <w:ind w:firstLine="567"/>
        <w:jc w:val="both"/>
        <w:rPr>
          <w:sz w:val="28"/>
        </w:rPr>
      </w:pPr>
      <w:r>
        <w:rPr>
          <w:sz w:val="28"/>
        </w:rPr>
        <w:t>Камера РДТТ одновременно служит и камерой сгорания, выдерживающей значительное давление, и местом хранения всего топлива. Давление в камере сгорания РДТТ обычно выше, чем в камере сгорания ДРД, так как его не ограничивают параметры топливной системы. Поэтому РДТТ имеют более высокий коэффициент тяги. В большинстве современных РДТТ давление находится в пределах от 30 до 100 кг/см</w:t>
      </w:r>
      <w:r>
        <w:rPr>
          <w:sz w:val="28"/>
          <w:vertAlign w:val="superscript"/>
        </w:rPr>
        <w:t>2</w:t>
      </w:r>
      <w:r>
        <w:rPr>
          <w:sz w:val="28"/>
        </w:rPr>
        <w:t>.</w:t>
      </w:r>
    </w:p>
    <w:p w:rsidR="00E87BA8" w:rsidRDefault="00E87BA8">
      <w:pPr>
        <w:spacing w:line="360" w:lineRule="auto"/>
        <w:jc w:val="both"/>
        <w:rPr>
          <w:sz w:val="28"/>
        </w:rPr>
      </w:pPr>
    </w:p>
    <w:p w:rsidR="00E87BA8" w:rsidRDefault="00E87BA8">
      <w:pPr>
        <w:pStyle w:val="a3"/>
        <w:spacing w:line="360" w:lineRule="auto"/>
      </w:pPr>
      <w:r>
        <w:t xml:space="preserve">Основной характерной особенностью РДТТ является их простота. Действительно, в этом случае отпадает необходимость в системе подачи топлива. Однако продолжительность работы такого двигателя ограничена </w:t>
      </w:r>
      <w:r w:rsidR="00912538">
        <w:rPr>
          <w:noProof/>
        </w:rPr>
        <w:pict>
          <v:rect id="_x0000_s1043" style="position:absolute;left:0;text-align:left;margin-left:56.7pt;margin-top:14.2pt;width:524.4pt;height:785.2pt;z-index:251659264;mso-position-horizontal-relative:page;mso-position-vertical-relative:page" o:allowincell="f" filled="f">
            <w10:wrap anchorx="page" anchory="page"/>
          </v:rect>
        </w:pict>
      </w:r>
      <w:r>
        <w:t>всего несколькими секундами или даже долями секунды и редко превышает 1-2 минуты.</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Вследствие этого такие двигатели нашли широкое применение в ускорителях, где необходимо получать очень высокие тяги в течение коротких промежутков времени. Двигатели, применяемые в этих целях, имеют меньший вес, чем силовые установки любого другого типа.</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Применение РДТТ  в качестве стартовых вспомогательных силовых установок на самолетах позволяет увеличить полезную нагрузку самолетов и сократить длину пробега при взлете.</w:t>
      </w:r>
    </w:p>
    <w:p w:rsidR="00E87BA8" w:rsidRDefault="00E87BA8">
      <w:pPr>
        <w:pStyle w:val="a3"/>
        <w:spacing w:line="360" w:lineRule="auto"/>
      </w:pPr>
    </w:p>
    <w:p w:rsidR="00E87BA8" w:rsidRDefault="00E87BA8">
      <w:pPr>
        <w:spacing w:line="360" w:lineRule="auto"/>
        <w:ind w:firstLine="567"/>
        <w:jc w:val="both"/>
        <w:rPr>
          <w:sz w:val="28"/>
        </w:rPr>
      </w:pPr>
      <w:r>
        <w:rPr>
          <w:sz w:val="28"/>
        </w:rPr>
        <w:t xml:space="preserve">С эксплуатационной точки зрения преимущество силовых установок с РДТТ заключается в том, что они всегда готовы для использования и не требуют заправки баков перед самым запуском, поэтому их применяют и в качестве основных двигателей на ракетных снарядах. Типичным примером может служить ракетный снаряд класса «земля-земля». </w:t>
      </w:r>
    </w:p>
    <w:p w:rsidR="00E87BA8" w:rsidRDefault="00E87BA8">
      <w:pPr>
        <w:spacing w:line="360" w:lineRule="auto"/>
        <w:ind w:firstLine="567"/>
        <w:jc w:val="both"/>
        <w:rPr>
          <w:sz w:val="28"/>
        </w:rPr>
      </w:pPr>
    </w:p>
    <w:p w:rsidR="00E87BA8" w:rsidRDefault="00912538">
      <w:pPr>
        <w:spacing w:line="360" w:lineRule="auto"/>
        <w:ind w:firstLine="567"/>
        <w:jc w:val="both"/>
        <w:rPr>
          <w:sz w:val="28"/>
        </w:rPr>
      </w:pPr>
      <w:r>
        <w:rPr>
          <w:noProof/>
          <w:sz w:val="28"/>
        </w:rPr>
        <w:pict>
          <v:rect id="_x0000_s1045" style="position:absolute;left:0;text-align:left;margin-left:56.7pt;margin-top:14.2pt;width:524.4pt;height:785.2pt;z-index:251661312;mso-position-horizontal-relative:page;mso-position-vertical-relative:page" o:allowincell="f" filled="f">
            <w10:wrap anchorx="page" anchory="page"/>
          </v:rect>
        </w:pict>
      </w:r>
      <w:r w:rsidR="00E87BA8">
        <w:rPr>
          <w:sz w:val="28"/>
        </w:rPr>
        <w:t>Появились также мощные баллистические твердотопливные ракеты, которыми вооружаются атомные подводные лодки, и межконтинентальные баллистические ракеты на твердом топливе.</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 xml:space="preserve">Кроме этих достоинств есть весьма существенный недостаток. После запуска двигателя горение обычно продолжается до полного выгорания топлива; при этом изменение тяги следует вполне определенному закону и не поддается регулированию. Однако теоретически возможно регулированием давления в камере прекратить горение топлива и при  желании снова возобновить его. Горение можно прекратить либо продувкой камеры, либо гашением пламени специальной жидкостью. Возобновить же горение можно только при использовании нового заряда воспламенителя. В настоящее время осуществимо своевременное выключение двигателя, но осуществление повторного воспламенения все еще остается сложной проблемой.   Его работу чрезвычайно сложно регулировать. Скорость горения топлива не должна сколько-нибудь значительно меняться с изменением давления  и температуры. Регулирование величины тяги РДТТ можно осуществлять лишь в определенных заранее заданных пределах, подбирая твердотопливные заряды соответствующей геометрии и структуры. </w:t>
      </w:r>
      <w:r w:rsidR="00912538">
        <w:rPr>
          <w:noProof/>
          <w:sz w:val="28"/>
        </w:rPr>
        <w:pict>
          <v:rect id="_x0000_s1042" style="position:absolute;left:0;text-align:left;margin-left:56.7pt;margin-top:14.2pt;width:524.4pt;height:785.2pt;z-index:251658240;mso-position-horizontal-relative:page;mso-position-vertical-relative:page" o:allowincell="f" filled="f">
            <w10:wrap anchorx="page" anchory="page"/>
          </v:rect>
        </w:pict>
      </w:r>
      <w:r>
        <w:rPr>
          <w:sz w:val="28"/>
        </w:rPr>
        <w:t>В РДТТ трудно регулировать не только силу тяги, но и ее направление. Для этого надо изменять положение тяговой камеры, а она очень велика, ведь в ней находится весь запас топлива. Появились твердотопливные ракеты с поворотными соплами, конструктивно они довольно сложны, но это позволяет решить проблему управления направлением тяги.</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В космонавтике в настоящее время ракетные двигатели твердого топлива применяются ограниченно. Мощные РДТТ используются на некоторых американских ракетах – носителях, например, на ракете «Титан».</w:t>
      </w:r>
    </w:p>
    <w:p w:rsidR="00E87BA8" w:rsidRDefault="00E87BA8">
      <w:pPr>
        <w:pStyle w:val="a3"/>
        <w:spacing w:line="360" w:lineRule="auto"/>
      </w:pPr>
    </w:p>
    <w:p w:rsidR="00E87BA8" w:rsidRDefault="00E87BA8">
      <w:pPr>
        <w:pStyle w:val="a3"/>
        <w:spacing w:line="360" w:lineRule="auto"/>
      </w:pPr>
      <w:r>
        <w:t xml:space="preserve">Важнейшим элементом РДТТ является заряд твердого топлива. Характеристики двигателя зависят и от элементов топлива, и от структуры и устройства заряда. Различают два основных вида твердых ракетных топлив: двухосновные, или коллоидные, и смесевые. Коллоидное топливо </w:t>
      </w:r>
      <w:r w:rsidR="00912538">
        <w:rPr>
          <w:noProof/>
        </w:rPr>
        <w:pict>
          <v:rect id="_x0000_s1035" style="position:absolute;left:0;text-align:left;margin-left:56.7pt;margin-top:14.2pt;width:524.4pt;height:785.2pt;z-index:251654144;mso-position-horizontal-relative:page;mso-position-vertical-relative:page" o:allowincell="f" filled="f">
            <w10:wrap anchorx="page" anchory="page"/>
          </v:rect>
        </w:pict>
      </w:r>
      <w:r>
        <w:t xml:space="preserve">представляет собой твердый однородный раствор органический веществ, молекулы которых содержат окислительные и горючие элементы. Наиболее широко используется твердый раствор нитроцеллюозы и нитроглицерина. Увеличение содержания нитроглицерина в таком растворе повышает удельный импульс двигателя, однако, увеличивается и взрывоопасность топлива, ухудшаются его стабильность и механические свойства заряда. </w:t>
      </w:r>
      <w:r w:rsidR="00912538">
        <w:rPr>
          <w:noProof/>
        </w:rPr>
        <w:pict>
          <v:rect id="_x0000_s1036" style="position:absolute;left:0;text-align:left;margin-left:56.7pt;margin-top:14.2pt;width:524.4pt;height:785.2pt;z-index:251655168;mso-position-horizontal-relative:page;mso-position-vertical-relative:page" o:allowincell="f" filled="f">
            <w10:wrap anchorx="page" anchory="page"/>
          </v:rect>
        </w:pict>
      </w:r>
      <w:r>
        <w:t>Заряды из коллоидного топлива применяются чаще всего в небольших двигателях.</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 xml:space="preserve">Смесевые топлива представляют собой механические смеси горючего и окислителя. В качестве окислителя в этих топливах обычно применяют неорганические кристаллические вещества - перхлорат аммония, перхлорат калия и другие. Обычно такое топливо состоит из трех компонентов: кроме окислителя, в него входят полимерное горючее, служащее связующим элементом, и второе горючее в виде порошкообразных металлических добавок, которые существенно улучшают энергетические характеристики топлива.  Горючим связующим могут быть полиэфирные и эпоксидные смолы, полиуретановый полибутадиеновый каучук и др. </w:t>
      </w:r>
    </w:p>
    <w:p w:rsidR="00E87BA8" w:rsidRDefault="00912538">
      <w:pPr>
        <w:spacing w:line="360" w:lineRule="auto"/>
        <w:ind w:firstLine="567"/>
        <w:jc w:val="both"/>
        <w:rPr>
          <w:sz w:val="28"/>
        </w:rPr>
      </w:pPr>
      <w:r>
        <w:rPr>
          <w:noProof/>
          <w:sz w:val="28"/>
        </w:rPr>
        <w:pict>
          <v:rect id="_x0000_s1040" style="position:absolute;left:0;text-align:left;margin-left:56.7pt;margin-top:14.2pt;width:524.4pt;height:785.2pt;z-index:251657216;mso-position-horizontal-relative:page;mso-position-vertical-relative:page" o:allowincell="f" filled="f">
            <w10:wrap anchorx="page" anchory="page"/>
          </v:rect>
        </w:pict>
      </w:r>
    </w:p>
    <w:p w:rsidR="00E87BA8" w:rsidRDefault="00E87BA8">
      <w:pPr>
        <w:spacing w:line="360" w:lineRule="auto"/>
        <w:ind w:firstLine="567"/>
        <w:jc w:val="both"/>
        <w:rPr>
          <w:sz w:val="28"/>
        </w:rPr>
      </w:pPr>
      <w:r>
        <w:rPr>
          <w:sz w:val="28"/>
        </w:rPr>
        <w:t>Вторым горючим чаще служит порошкообразный алюминий, иногда бериллий или магний. Смесевые топлива обычно имеют больший удельный импульс, чем коллоидные, большую плотность, большую стабильность, лучше хранятся, более технологичны. Для приготовления смесевого топлива в жидкое горючее-связующее добавляют размельченные кристаллы окислителя, металлический порошок и другие добавки, полученный состав тщательно перемешивают и заливают в специальные формы или непосредственно в корпус двигателя, откуда предварительно откачивают воздух. Под действием специально введенных в смесь катализаторов связующее вещество полимеризуется и топливо превращается резиноподобную массу.</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В ракетном двигателе, работающем на твердом топливе, топливо целиком расположено в камере сгорания в виде одного или нескольких блоков определенной формы, которые называются зарядами или шашками. Заряды удерживаются стенками камеры или специальными решетками, называемые диафрагмами.</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Очень важна геометрическая форма заряда. Изменяя ее и используя бронирующие покрытия поверхностей заряда, которые не должны гореть, добиваются нужного изменения площади горения и соответственно давления газов в камере и тяги двигателя.</w:t>
      </w:r>
    </w:p>
    <w:p w:rsidR="00E87BA8" w:rsidRDefault="00E87BA8">
      <w:pPr>
        <w:spacing w:line="360" w:lineRule="auto"/>
        <w:ind w:firstLine="567"/>
        <w:jc w:val="both"/>
        <w:rPr>
          <w:sz w:val="28"/>
        </w:rPr>
      </w:pPr>
    </w:p>
    <w:p w:rsidR="00E87BA8" w:rsidRDefault="00E87BA8">
      <w:pPr>
        <w:pStyle w:val="a3"/>
        <w:spacing w:line="360" w:lineRule="auto"/>
      </w:pPr>
      <w:r>
        <w:t xml:space="preserve">Есть заряды, обеспечивающие нейтральное горение, у них площадь горения остается неизменной. Так получается, если шашка твердого топлива горит с торца или же одновременно с наружной и внутренней поверхности (для этого внутри заряда делается полость). При регрессивном горении поверхность горения уменьшается. Так получается, если цилиндрическая шашка горит с наружной поверхности. И, наконец, для прогрессивного горения, которое обеспечивает увеличение давления в камере сгорания, </w:t>
      </w:r>
      <w:r w:rsidR="00912538">
        <w:rPr>
          <w:noProof/>
        </w:rPr>
        <w:pict>
          <v:rect id="_x0000_s1039" style="position:absolute;left:0;text-align:left;margin-left:56.7pt;margin-top:14.2pt;width:524.4pt;height:785.2pt;z-index:251656192;mso-position-horizontal-relative:page;mso-position-vertical-relative:page" o:allowincell="f" filled="f">
            <w10:wrap anchorx="page" anchory="page"/>
          </v:rect>
        </w:pict>
      </w:r>
      <w:r>
        <w:t>нужно нарастание площади горения. Простым примером такого заряда служит шашка, горящая по внутренней цилиндрической поверхности.</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В РДТТ применяется пиротехническое, пирогенное и химическое зажигание топливного заряда. При пиротехническом зажигании электрозапал поджигает пиротехнический воспламенитель, от которого производится зажигание основного заряда. Пирогенное зажигание производится от газогенератора твердого топлива, который, по существу, представляет собой небольшой твердотопливный двигатель. Для химического зажигания в камеру вводится химически активная жидкость или газ – пусковой окислитель, что приводит к самовоспламенению.</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Плотность твердых топлив на 20 – 80% выше, чем плотность жидких топлив. Это преимущество твердых топлив отчасти компенсирует их более низкий единичный импульс.</w:t>
      </w:r>
    </w:p>
    <w:p w:rsidR="00E87BA8" w:rsidRDefault="00E87BA8">
      <w:pPr>
        <w:spacing w:line="360" w:lineRule="auto"/>
        <w:ind w:firstLine="567"/>
        <w:jc w:val="both"/>
        <w:rPr>
          <w:sz w:val="28"/>
        </w:rPr>
      </w:pPr>
    </w:p>
    <w:p w:rsidR="00E87BA8" w:rsidRDefault="00E87BA8">
      <w:pPr>
        <w:spacing w:line="360" w:lineRule="auto"/>
        <w:ind w:firstLine="567"/>
        <w:jc w:val="both"/>
        <w:rPr>
          <w:sz w:val="28"/>
        </w:rPr>
      </w:pPr>
      <w:r>
        <w:rPr>
          <w:sz w:val="28"/>
        </w:rPr>
        <w:t>В РДТТ топливо всегда тесно связано с кожухом двигателя. Поэтому отношение суммарного импульса</w:t>
      </w:r>
      <w:r>
        <w:rPr>
          <w:sz w:val="28"/>
          <w:lang w:val="en-US"/>
        </w:rPr>
        <w:t xml:space="preserve"> </w:t>
      </w:r>
      <w:r>
        <w:rPr>
          <w:b/>
          <w:sz w:val="28"/>
          <w:lang w:val="en-US"/>
        </w:rPr>
        <w:t>I</w:t>
      </w:r>
      <w:r>
        <w:rPr>
          <w:sz w:val="28"/>
        </w:rPr>
        <w:t xml:space="preserve"> к общему весу двигателя</w:t>
      </w:r>
      <w:r>
        <w:rPr>
          <w:sz w:val="28"/>
          <w:lang w:val="en-US"/>
        </w:rPr>
        <w:t xml:space="preserve"> </w:t>
      </w:r>
      <w:r>
        <w:rPr>
          <w:b/>
          <w:sz w:val="28"/>
          <w:lang w:val="en-US"/>
        </w:rPr>
        <w:t>G</w:t>
      </w:r>
      <w:r>
        <w:rPr>
          <w:b/>
          <w:sz w:val="28"/>
          <w:vertAlign w:val="subscript"/>
        </w:rPr>
        <w:t>ДВ</w:t>
      </w:r>
      <w:r>
        <w:rPr>
          <w:sz w:val="28"/>
        </w:rPr>
        <w:t xml:space="preserve"> (включая и вес топлива </w:t>
      </w:r>
      <w:r>
        <w:rPr>
          <w:b/>
          <w:sz w:val="28"/>
          <w:lang w:val="en-US"/>
        </w:rPr>
        <w:t>G</w:t>
      </w:r>
      <w:r>
        <w:rPr>
          <w:b/>
          <w:sz w:val="28"/>
          <w:vertAlign w:val="subscript"/>
        </w:rPr>
        <w:t>Т</w:t>
      </w:r>
      <w:r>
        <w:rPr>
          <w:sz w:val="28"/>
        </w:rPr>
        <w:t xml:space="preserve">) определяет качество двигателя. Оно связано с единичным </w:t>
      </w:r>
      <w:r w:rsidR="00912538">
        <w:rPr>
          <w:noProof/>
          <w:sz w:val="28"/>
        </w:rPr>
        <w:pict>
          <v:rect id="_x0000_s1044" style="position:absolute;left:0;text-align:left;margin-left:56.7pt;margin-top:14.2pt;width:524.4pt;height:785.2pt;z-index:251660288;mso-position-horizontal-relative:page;mso-position-vertical-relative:page" o:allowincell="f" filled="f">
            <w10:wrap anchorx="page" anchory="page"/>
          </v:rect>
        </w:pict>
      </w:r>
      <w:r>
        <w:rPr>
          <w:sz w:val="28"/>
        </w:rPr>
        <w:t xml:space="preserve">импульсом </w:t>
      </w:r>
      <w:r>
        <w:rPr>
          <w:b/>
          <w:sz w:val="28"/>
          <w:lang w:val="en-US"/>
        </w:rPr>
        <w:t>I</w:t>
      </w:r>
      <w:r>
        <w:rPr>
          <w:b/>
          <w:sz w:val="28"/>
          <w:vertAlign w:val="subscript"/>
        </w:rPr>
        <w:t>ЕД</w:t>
      </w:r>
      <w:r>
        <w:rPr>
          <w:sz w:val="28"/>
        </w:rPr>
        <w:t xml:space="preserve"> и с комплексом  </w:t>
      </w:r>
      <w:r>
        <w:rPr>
          <w:b/>
          <w:sz w:val="28"/>
        </w:rPr>
        <w:sym w:font="Symbol" w:char="F044"/>
      </w:r>
      <w:r>
        <w:rPr>
          <w:sz w:val="28"/>
        </w:rPr>
        <w:t>, представляющим собой соотношение веса топлива к общему весу двигателя, следующим соотношением:</w:t>
      </w:r>
    </w:p>
    <w:p w:rsidR="00E87BA8" w:rsidRDefault="00E87BA8">
      <w:pPr>
        <w:spacing w:line="360" w:lineRule="auto"/>
        <w:ind w:firstLine="567"/>
        <w:jc w:val="both"/>
        <w:rPr>
          <w:b/>
          <w:sz w:val="32"/>
          <w:lang w:val="en-US"/>
        </w:rPr>
      </w:pPr>
    </w:p>
    <w:p w:rsidR="00E87BA8" w:rsidRDefault="00E87BA8">
      <w:pPr>
        <w:spacing w:line="360" w:lineRule="auto"/>
        <w:ind w:firstLine="567"/>
        <w:jc w:val="both"/>
        <w:rPr>
          <w:b/>
          <w:sz w:val="32"/>
          <w:lang w:val="en-US"/>
        </w:rPr>
      </w:pPr>
      <w:r>
        <w:rPr>
          <w:b/>
          <w:sz w:val="32"/>
          <w:lang w:val="en-US"/>
        </w:rPr>
        <w:t>I\G</w:t>
      </w:r>
      <w:r>
        <w:rPr>
          <w:b/>
          <w:sz w:val="32"/>
          <w:vertAlign w:val="subscript"/>
        </w:rPr>
        <w:t>ДВ</w:t>
      </w:r>
      <w:r>
        <w:rPr>
          <w:b/>
          <w:sz w:val="32"/>
        </w:rPr>
        <w:t xml:space="preserve"> = </w:t>
      </w:r>
      <w:r>
        <w:rPr>
          <w:b/>
          <w:sz w:val="32"/>
          <w:lang w:val="en-US"/>
        </w:rPr>
        <w:t>G</w:t>
      </w:r>
      <w:r>
        <w:rPr>
          <w:b/>
          <w:sz w:val="32"/>
          <w:vertAlign w:val="subscript"/>
          <w:lang w:val="en-US"/>
        </w:rPr>
        <w:t>Т</w:t>
      </w:r>
      <w:r>
        <w:rPr>
          <w:b/>
          <w:sz w:val="32"/>
          <w:lang w:val="en-US"/>
        </w:rPr>
        <w:t>I</w:t>
      </w:r>
      <w:r>
        <w:rPr>
          <w:b/>
          <w:sz w:val="32"/>
          <w:vertAlign w:val="subscript"/>
          <w:lang w:val="en-US"/>
        </w:rPr>
        <w:t>ЕД</w:t>
      </w:r>
      <w:r>
        <w:rPr>
          <w:b/>
          <w:sz w:val="32"/>
          <w:lang w:val="en-US"/>
        </w:rPr>
        <w:t>\G</w:t>
      </w:r>
      <w:r>
        <w:rPr>
          <w:b/>
          <w:sz w:val="32"/>
          <w:vertAlign w:val="subscript"/>
          <w:lang w:val="en-US"/>
        </w:rPr>
        <w:t>ДВ</w:t>
      </w:r>
      <w:r>
        <w:rPr>
          <w:b/>
          <w:sz w:val="32"/>
          <w:lang w:val="en-US"/>
        </w:rPr>
        <w:t xml:space="preserve"> = I</w:t>
      </w:r>
      <w:r>
        <w:rPr>
          <w:b/>
          <w:sz w:val="32"/>
          <w:lang w:val="en-US"/>
        </w:rPr>
        <w:sym w:font="Symbol" w:char="F044"/>
      </w:r>
      <w:r>
        <w:rPr>
          <w:b/>
          <w:sz w:val="32"/>
          <w:lang w:val="en-US"/>
        </w:rPr>
        <w:t>,</w:t>
      </w:r>
    </w:p>
    <w:p w:rsidR="00E87BA8" w:rsidRDefault="00E87BA8">
      <w:pPr>
        <w:spacing w:line="360" w:lineRule="auto"/>
        <w:ind w:firstLine="567"/>
        <w:jc w:val="both"/>
        <w:rPr>
          <w:b/>
          <w:sz w:val="32"/>
          <w:lang w:val="en-US"/>
        </w:rPr>
      </w:pPr>
    </w:p>
    <w:p w:rsidR="00E87BA8" w:rsidRDefault="00E87BA8">
      <w:pPr>
        <w:spacing w:line="360" w:lineRule="auto"/>
        <w:ind w:firstLine="567"/>
        <w:jc w:val="both"/>
        <w:rPr>
          <w:b/>
          <w:sz w:val="32"/>
          <w:lang w:val="en-US"/>
        </w:rPr>
      </w:pPr>
      <w:r>
        <w:rPr>
          <w:b/>
          <w:sz w:val="32"/>
          <w:lang w:val="en-US"/>
        </w:rPr>
        <w:sym w:font="Symbol" w:char="F044"/>
      </w:r>
      <w:r>
        <w:rPr>
          <w:b/>
          <w:sz w:val="32"/>
          <w:lang w:val="en-US"/>
        </w:rPr>
        <w:t xml:space="preserve"> = G</w:t>
      </w:r>
      <w:r>
        <w:rPr>
          <w:b/>
          <w:sz w:val="32"/>
          <w:vertAlign w:val="subscript"/>
          <w:lang w:val="en-US"/>
        </w:rPr>
        <w:t>Т</w:t>
      </w:r>
      <w:r>
        <w:rPr>
          <w:b/>
          <w:sz w:val="32"/>
          <w:lang w:val="en-US"/>
        </w:rPr>
        <w:t>\G</w:t>
      </w:r>
      <w:r>
        <w:rPr>
          <w:b/>
          <w:sz w:val="32"/>
          <w:vertAlign w:val="subscript"/>
          <w:lang w:val="en-US"/>
        </w:rPr>
        <w:t>ДВ</w:t>
      </w:r>
    </w:p>
    <w:p w:rsidR="00E87BA8" w:rsidRDefault="00E87BA8">
      <w:pPr>
        <w:spacing w:line="360" w:lineRule="auto"/>
        <w:ind w:firstLine="567"/>
        <w:jc w:val="both"/>
        <w:rPr>
          <w:b/>
          <w:sz w:val="32"/>
          <w:lang w:val="en-US"/>
        </w:rPr>
      </w:pPr>
    </w:p>
    <w:p w:rsidR="00E87BA8" w:rsidRDefault="00E87BA8">
      <w:pPr>
        <w:spacing w:line="360" w:lineRule="auto"/>
        <w:ind w:firstLine="567"/>
        <w:jc w:val="both"/>
        <w:rPr>
          <w:sz w:val="28"/>
          <w:lang w:val="en-US"/>
        </w:rPr>
      </w:pPr>
      <w:r>
        <w:rPr>
          <w:sz w:val="28"/>
        </w:rPr>
        <w:t xml:space="preserve">Величина  </w:t>
      </w:r>
      <w:r>
        <w:rPr>
          <w:b/>
          <w:sz w:val="32"/>
        </w:rPr>
        <w:sym w:font="Symbol" w:char="F044"/>
      </w:r>
      <w:r>
        <w:rPr>
          <w:b/>
          <w:sz w:val="32"/>
        </w:rPr>
        <w:t xml:space="preserve"> </w:t>
      </w:r>
      <w:r>
        <w:rPr>
          <w:sz w:val="28"/>
        </w:rPr>
        <w:t xml:space="preserve">лежит в пределах от 0,4 до 0,95. Для большинства современных конструкций  </w:t>
      </w:r>
      <w:r>
        <w:rPr>
          <w:b/>
          <w:sz w:val="32"/>
          <w:lang w:val="en-US"/>
        </w:rPr>
        <w:sym w:font="Symbol" w:char="F044"/>
      </w:r>
      <w:r>
        <w:rPr>
          <w:b/>
          <w:sz w:val="32"/>
          <w:lang w:val="en-US"/>
        </w:rPr>
        <w:t xml:space="preserve"> </w:t>
      </w:r>
      <w:r>
        <w:rPr>
          <w:sz w:val="28"/>
          <w:lang w:val="en-US"/>
        </w:rPr>
        <w:t>= 0,86.</w:t>
      </w:r>
    </w:p>
    <w:p w:rsidR="00E87BA8" w:rsidRDefault="00912538">
      <w:pPr>
        <w:spacing w:line="360" w:lineRule="auto"/>
        <w:ind w:firstLine="567"/>
        <w:jc w:val="both"/>
        <w:rPr>
          <w:sz w:val="28"/>
        </w:rPr>
      </w:pPr>
      <w:r>
        <w:rPr>
          <w:noProof/>
          <w:sz w:val="28"/>
        </w:rPr>
        <w:pict>
          <v:rect id="_x0000_s1046" style="position:absolute;left:0;text-align:left;margin-left:56.7pt;margin-top:14.2pt;width:524.4pt;height:785.2pt;z-index:251662336;mso-position-horizontal-relative:page;mso-position-vertical-relative:page" o:allowincell="f" filled="f">
            <w10:wrap anchorx="page" anchory="page"/>
          </v:rect>
        </w:pict>
      </w:r>
    </w:p>
    <w:p w:rsidR="00E87BA8" w:rsidRDefault="00E87BA8">
      <w:pPr>
        <w:spacing w:line="360" w:lineRule="auto"/>
        <w:ind w:firstLine="567"/>
        <w:jc w:val="both"/>
        <w:rPr>
          <w:sz w:val="28"/>
        </w:rPr>
      </w:pPr>
      <w:r>
        <w:rPr>
          <w:sz w:val="28"/>
        </w:rPr>
        <w:t>Если увеличить давление сгорания, то единичный импульс также увеличится, но одновременно возрастет и пассивный вес двигателя (</w:t>
      </w:r>
      <w:r>
        <w:rPr>
          <w:b/>
          <w:sz w:val="32"/>
        </w:rPr>
        <w:sym w:font="Symbol" w:char="F044"/>
      </w:r>
      <w:r>
        <w:rPr>
          <w:b/>
          <w:sz w:val="32"/>
        </w:rPr>
        <w:t xml:space="preserve"> </w:t>
      </w:r>
      <w:r>
        <w:rPr>
          <w:sz w:val="28"/>
        </w:rPr>
        <w:t>уменьшится). Поэтому наилучшим будет тот двигатель, у которого соотношение этих величин будет оптимальным.</w:t>
      </w:r>
    </w:p>
    <w:p w:rsidR="00E87BA8" w:rsidRDefault="00E87BA8">
      <w:pPr>
        <w:spacing w:line="360" w:lineRule="auto"/>
        <w:jc w:val="both"/>
      </w:pPr>
    </w:p>
    <w:p w:rsidR="00E87BA8" w:rsidRDefault="00E87BA8">
      <w:pPr>
        <w:spacing w:line="360" w:lineRule="auto"/>
        <w:ind w:firstLine="567"/>
        <w:jc w:val="both"/>
        <w:rPr>
          <w:sz w:val="28"/>
        </w:rPr>
      </w:pPr>
    </w:p>
    <w:p w:rsidR="00E87BA8" w:rsidRDefault="00E87BA8">
      <w:pPr>
        <w:spacing w:line="360" w:lineRule="auto"/>
        <w:jc w:val="both"/>
      </w:pPr>
      <w:bookmarkStart w:id="0" w:name="_GoBack"/>
      <w:bookmarkEnd w:id="0"/>
    </w:p>
    <w:sectPr w:rsidR="00E87BA8">
      <w:pgSz w:w="11906" w:h="16838"/>
      <w:pgMar w:top="851" w:right="851" w:bottom="90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E73"/>
    <w:rsid w:val="00351E73"/>
    <w:rsid w:val="00912538"/>
    <w:rsid w:val="00E87BA8"/>
    <w:rsid w:val="00F9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73E13B69-5EA1-4B31-8883-D9BB63A2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cp:lastModifiedBy>admin</cp:lastModifiedBy>
  <cp:revision>2</cp:revision>
  <cp:lastPrinted>1998-12-01T20:07:00Z</cp:lastPrinted>
  <dcterms:created xsi:type="dcterms:W3CDTF">2014-02-13T16:59:00Z</dcterms:created>
  <dcterms:modified xsi:type="dcterms:W3CDTF">2014-02-13T16:59:00Z</dcterms:modified>
</cp:coreProperties>
</file>