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A44" w:rsidRDefault="009D0A9A">
      <w:pPr>
        <w:pStyle w:val="1"/>
        <w:jc w:val="center"/>
      </w:pPr>
      <w:r>
        <w:t>Рыбное население малых рек - правобережных притоков Чебоксарского водохранилища на территории республики Марий Эл</w:t>
      </w:r>
    </w:p>
    <w:p w:rsidR="00134A44" w:rsidRPr="009D0A9A" w:rsidRDefault="009D0A9A">
      <w:pPr>
        <w:pStyle w:val="a3"/>
      </w:pPr>
      <w:r>
        <w:t>О.А. Морева, И.Е. Постнов, Д.И. Постнов, В.В. Логинов, М. Л. Тарбеев, А. А. Клевакин</w:t>
      </w:r>
    </w:p>
    <w:p w:rsidR="00134A44" w:rsidRDefault="009D0A9A">
      <w:pPr>
        <w:pStyle w:val="a3"/>
      </w:pPr>
      <w:r>
        <w:t>Введение. Рыбное население малых рек Республики Марий Эл до настоящего времени практически не исследовалось. В данной работе приводятся результаты ихтиологических исследований 4 рек, расположенных на территории Г орномарийского района республики.</w:t>
      </w:r>
    </w:p>
    <w:p w:rsidR="00134A44" w:rsidRDefault="009D0A9A">
      <w:pPr>
        <w:pStyle w:val="a3"/>
      </w:pPr>
      <w:r>
        <w:t>Условия, материалы и методы исследования. Республика Марий Эл (РМЭ) расположена на востоке Восточно-Европейской равнины, в среднем течении р. Волги. Большая часть Республики приходится на ее левобережье. Речная сеть Марий Эл состоит из 19 бассейнов, насчитывает более 1,5 тыс. рек общей длиной 10,7 тыс. км. Из них 179 рек имеют длину от 10 до 25 км, 32 реки - от 25 до 100 км и 9 рек длиной более 100 км. Большинство рек протекает среди лесных массивов и имеют смешанный тип питания (50% из них - за счёт талых снеговых вод). Средняя густота речной сети составляет 0,47 км2. Максимальные уровни подъёма воды на реках Марий Эл отмечаются во 2-ой половине апреля, и достигают 2 - 5,5 м. Спад весеннего половодья плавный - до конца мая, иногда - до начала июня [1].</w:t>
      </w:r>
    </w:p>
    <w:p w:rsidR="00134A44" w:rsidRDefault="009D0A9A">
      <w:pPr>
        <w:pStyle w:val="a3"/>
      </w:pPr>
      <w:r>
        <w:t>Таблица 1 правобережных притоков</w:t>
      </w:r>
    </w:p>
    <w:p w:rsidR="00134A44" w:rsidRDefault="009D0A9A">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tblGrid>
      <w:tr w:rsidR="00134A44">
        <w:trPr>
          <w:trHeight w:val="1020"/>
          <w:tblCellSpacing w:w="0" w:type="dxa"/>
        </w:trPr>
        <w:tc>
          <w:tcPr>
            <w:tcW w:w="0" w:type="auto"/>
            <w:vAlign w:val="center"/>
            <w:hideMark/>
          </w:tcPr>
          <w:p w:rsidR="00134A44" w:rsidRDefault="009D0A9A">
            <w:r>
              <w:t>Река</w:t>
            </w:r>
          </w:p>
        </w:tc>
        <w:tc>
          <w:tcPr>
            <w:tcW w:w="0" w:type="auto"/>
            <w:vAlign w:val="center"/>
            <w:hideMark/>
          </w:tcPr>
          <w:p w:rsidR="00134A44" w:rsidRDefault="009D0A9A">
            <w:r>
              <w:t>На каком км от устья впадает в р. Волга</w:t>
            </w:r>
          </w:p>
        </w:tc>
        <w:tc>
          <w:tcPr>
            <w:tcW w:w="0" w:type="auto"/>
            <w:vAlign w:val="center"/>
            <w:hideMark/>
          </w:tcPr>
          <w:p w:rsidR="00134A44" w:rsidRDefault="009D0A9A">
            <w:r>
              <w:t>Протяженность, км полная/в РМ Э</w:t>
            </w:r>
          </w:p>
        </w:tc>
        <w:tc>
          <w:tcPr>
            <w:tcW w:w="0" w:type="auto"/>
            <w:vAlign w:val="center"/>
            <w:hideMark/>
          </w:tcPr>
          <w:p w:rsidR="00134A44" w:rsidRDefault="009D0A9A">
            <w:r>
              <w:t>Число притоков длиной более 5 км</w:t>
            </w:r>
          </w:p>
        </w:tc>
        <w:tc>
          <w:tcPr>
            <w:tcW w:w="0" w:type="auto"/>
            <w:vAlign w:val="center"/>
            <w:hideMark/>
          </w:tcPr>
          <w:p w:rsidR="00134A44" w:rsidRDefault="009D0A9A">
            <w:r>
              <w:t>Длина речной сети, км</w:t>
            </w:r>
          </w:p>
        </w:tc>
        <w:tc>
          <w:tcPr>
            <w:tcW w:w="0" w:type="auto"/>
            <w:vAlign w:val="center"/>
            <w:hideMark/>
          </w:tcPr>
          <w:p w:rsidR="00134A44" w:rsidRDefault="009D0A9A">
            <w:r>
              <w:t>Водосборная площадь в пределах РМЭ, км2</w:t>
            </w:r>
          </w:p>
        </w:tc>
        <w:tc>
          <w:tcPr>
            <w:tcW w:w="0" w:type="auto"/>
            <w:vAlign w:val="center"/>
            <w:hideMark/>
          </w:tcPr>
          <w:p w:rsidR="00134A44" w:rsidRPr="009D0A9A" w:rsidRDefault="009D0A9A">
            <w:pPr>
              <w:pStyle w:val="a3"/>
            </w:pPr>
            <w:r w:rsidRPr="009D0A9A">
              <w:t>Площадь</w:t>
            </w:r>
          </w:p>
          <w:p w:rsidR="00134A44" w:rsidRPr="009D0A9A" w:rsidRDefault="009D0A9A">
            <w:pPr>
              <w:pStyle w:val="a3"/>
            </w:pPr>
            <w:r w:rsidRPr="009D0A9A">
              <w:t>бассейна,</w:t>
            </w:r>
          </w:p>
          <w:p w:rsidR="00134A44" w:rsidRPr="009D0A9A" w:rsidRDefault="009D0A9A">
            <w:pPr>
              <w:pStyle w:val="a3"/>
            </w:pPr>
            <w:r w:rsidRPr="009D0A9A">
              <w:t>км2</w:t>
            </w:r>
          </w:p>
        </w:tc>
        <w:tc>
          <w:tcPr>
            <w:tcW w:w="0" w:type="auto"/>
            <w:vAlign w:val="center"/>
            <w:hideMark/>
          </w:tcPr>
          <w:p w:rsidR="00134A44" w:rsidRDefault="009D0A9A">
            <w:r>
              <w:t>Густота речной сети, км/ км2</w:t>
            </w:r>
          </w:p>
        </w:tc>
      </w:tr>
      <w:tr w:rsidR="00134A44">
        <w:trPr>
          <w:trHeight w:val="255"/>
          <w:tblCellSpacing w:w="0" w:type="dxa"/>
        </w:trPr>
        <w:tc>
          <w:tcPr>
            <w:tcW w:w="0" w:type="auto"/>
            <w:vAlign w:val="center"/>
            <w:hideMark/>
          </w:tcPr>
          <w:p w:rsidR="00134A44" w:rsidRDefault="009D0A9A">
            <w:r>
              <w:t>Сумка</w:t>
            </w:r>
          </w:p>
        </w:tc>
        <w:tc>
          <w:tcPr>
            <w:tcW w:w="0" w:type="auto"/>
            <w:vAlign w:val="center"/>
            <w:hideMark/>
          </w:tcPr>
          <w:p w:rsidR="00134A44" w:rsidRDefault="009D0A9A">
            <w:r>
              <w:t>2041</w:t>
            </w:r>
          </w:p>
        </w:tc>
        <w:tc>
          <w:tcPr>
            <w:tcW w:w="0" w:type="auto"/>
            <w:vAlign w:val="center"/>
            <w:hideMark/>
          </w:tcPr>
          <w:p w:rsidR="00134A44" w:rsidRDefault="009D0A9A">
            <w:r>
              <w:t>23/23</w:t>
            </w:r>
          </w:p>
        </w:tc>
        <w:tc>
          <w:tcPr>
            <w:tcW w:w="0" w:type="auto"/>
            <w:vAlign w:val="center"/>
            <w:hideMark/>
          </w:tcPr>
          <w:p w:rsidR="00134A44" w:rsidRDefault="009D0A9A">
            <w:r>
              <w:t>8</w:t>
            </w:r>
          </w:p>
        </w:tc>
        <w:tc>
          <w:tcPr>
            <w:tcW w:w="0" w:type="auto"/>
            <w:vAlign w:val="center"/>
            <w:hideMark/>
          </w:tcPr>
          <w:p w:rsidR="00134A44" w:rsidRDefault="009D0A9A">
            <w:r>
              <w:t>77,7</w:t>
            </w:r>
          </w:p>
        </w:tc>
        <w:tc>
          <w:tcPr>
            <w:tcW w:w="0" w:type="auto"/>
            <w:vAlign w:val="center"/>
            <w:hideMark/>
          </w:tcPr>
          <w:p w:rsidR="00134A44" w:rsidRDefault="009D0A9A">
            <w:r>
              <w:t>195,6</w:t>
            </w:r>
          </w:p>
        </w:tc>
        <w:tc>
          <w:tcPr>
            <w:tcW w:w="0" w:type="auto"/>
            <w:vAlign w:val="center"/>
            <w:hideMark/>
          </w:tcPr>
          <w:p w:rsidR="00134A44" w:rsidRDefault="009D0A9A">
            <w:r>
              <w:t>199,1</w:t>
            </w:r>
          </w:p>
        </w:tc>
        <w:tc>
          <w:tcPr>
            <w:tcW w:w="0" w:type="auto"/>
            <w:vAlign w:val="center"/>
            <w:hideMark/>
          </w:tcPr>
          <w:p w:rsidR="00134A44" w:rsidRDefault="009D0A9A">
            <w:r>
              <w:t>0,39</w:t>
            </w:r>
          </w:p>
        </w:tc>
      </w:tr>
      <w:tr w:rsidR="00134A44">
        <w:trPr>
          <w:trHeight w:val="255"/>
          <w:tblCellSpacing w:w="0" w:type="dxa"/>
        </w:trPr>
        <w:tc>
          <w:tcPr>
            <w:tcW w:w="0" w:type="auto"/>
            <w:vAlign w:val="center"/>
            <w:hideMark/>
          </w:tcPr>
          <w:p w:rsidR="00134A44" w:rsidRDefault="009D0A9A">
            <w:r>
              <w:t>Б. Юнга</w:t>
            </w:r>
          </w:p>
        </w:tc>
        <w:tc>
          <w:tcPr>
            <w:tcW w:w="0" w:type="auto"/>
            <w:vAlign w:val="center"/>
            <w:hideMark/>
          </w:tcPr>
          <w:p w:rsidR="00134A44" w:rsidRDefault="009D0A9A">
            <w:r>
              <w:t>2027</w:t>
            </w:r>
          </w:p>
        </w:tc>
        <w:tc>
          <w:tcPr>
            <w:tcW w:w="0" w:type="auto"/>
            <w:vAlign w:val="center"/>
            <w:hideMark/>
          </w:tcPr>
          <w:p w:rsidR="00134A44" w:rsidRDefault="009D0A9A">
            <w:r>
              <w:t>56/35</w:t>
            </w:r>
          </w:p>
        </w:tc>
        <w:tc>
          <w:tcPr>
            <w:tcW w:w="0" w:type="auto"/>
            <w:vAlign w:val="center"/>
            <w:hideMark/>
          </w:tcPr>
          <w:p w:rsidR="00134A44" w:rsidRDefault="009D0A9A">
            <w:r>
              <w:t>8</w:t>
            </w:r>
          </w:p>
        </w:tc>
        <w:tc>
          <w:tcPr>
            <w:tcW w:w="0" w:type="auto"/>
            <w:vAlign w:val="center"/>
            <w:hideMark/>
          </w:tcPr>
          <w:p w:rsidR="00134A44" w:rsidRDefault="009D0A9A">
            <w:r>
              <w:t>91,0</w:t>
            </w:r>
          </w:p>
        </w:tc>
        <w:tc>
          <w:tcPr>
            <w:tcW w:w="0" w:type="auto"/>
            <w:vAlign w:val="center"/>
            <w:hideMark/>
          </w:tcPr>
          <w:p w:rsidR="00134A44" w:rsidRDefault="009D0A9A">
            <w:r>
              <w:t>176,0</w:t>
            </w:r>
          </w:p>
        </w:tc>
        <w:tc>
          <w:tcPr>
            <w:tcW w:w="0" w:type="auto"/>
            <w:vAlign w:val="center"/>
            <w:hideMark/>
          </w:tcPr>
          <w:p w:rsidR="00134A44" w:rsidRDefault="009D0A9A">
            <w:r>
              <w:t>429,3</w:t>
            </w:r>
          </w:p>
        </w:tc>
        <w:tc>
          <w:tcPr>
            <w:tcW w:w="0" w:type="auto"/>
            <w:vAlign w:val="center"/>
            <w:hideMark/>
          </w:tcPr>
          <w:p w:rsidR="00134A44" w:rsidRDefault="009D0A9A">
            <w:r>
              <w:t>0,51</w:t>
            </w:r>
          </w:p>
        </w:tc>
      </w:tr>
      <w:tr w:rsidR="00134A44">
        <w:trPr>
          <w:trHeight w:val="255"/>
          <w:tblCellSpacing w:w="0" w:type="dxa"/>
        </w:trPr>
        <w:tc>
          <w:tcPr>
            <w:tcW w:w="0" w:type="auto"/>
            <w:vAlign w:val="center"/>
            <w:hideMark/>
          </w:tcPr>
          <w:p w:rsidR="00134A44" w:rsidRDefault="009D0A9A">
            <w:r>
              <w:t>М. Юнга</w:t>
            </w:r>
          </w:p>
        </w:tc>
        <w:tc>
          <w:tcPr>
            <w:tcW w:w="0" w:type="auto"/>
            <w:vAlign w:val="center"/>
            <w:hideMark/>
          </w:tcPr>
          <w:p w:rsidR="00134A44" w:rsidRDefault="009D0A9A">
            <w:r>
              <w:t>2023</w:t>
            </w:r>
          </w:p>
        </w:tc>
        <w:tc>
          <w:tcPr>
            <w:tcW w:w="0" w:type="auto"/>
            <w:vAlign w:val="center"/>
            <w:hideMark/>
          </w:tcPr>
          <w:p w:rsidR="00134A44" w:rsidRDefault="009D0A9A">
            <w:r>
              <w:t>24/24</w:t>
            </w:r>
          </w:p>
        </w:tc>
        <w:tc>
          <w:tcPr>
            <w:tcW w:w="0" w:type="auto"/>
            <w:vAlign w:val="center"/>
            <w:hideMark/>
          </w:tcPr>
          <w:p w:rsidR="00134A44" w:rsidRDefault="009D0A9A">
            <w:r>
              <w:t>1</w:t>
            </w:r>
          </w:p>
        </w:tc>
        <w:tc>
          <w:tcPr>
            <w:tcW w:w="0" w:type="auto"/>
            <w:vAlign w:val="center"/>
            <w:hideMark/>
          </w:tcPr>
          <w:p w:rsidR="00134A44" w:rsidRDefault="009D0A9A">
            <w:r>
              <w:t>32,5</w:t>
            </w:r>
          </w:p>
        </w:tc>
        <w:tc>
          <w:tcPr>
            <w:tcW w:w="0" w:type="auto"/>
            <w:vAlign w:val="center"/>
            <w:hideMark/>
          </w:tcPr>
          <w:p w:rsidR="00134A44" w:rsidRDefault="009D0A9A">
            <w:r>
              <w:t>71,0</w:t>
            </w:r>
          </w:p>
        </w:tc>
        <w:tc>
          <w:tcPr>
            <w:tcW w:w="0" w:type="auto"/>
            <w:vAlign w:val="center"/>
            <w:hideMark/>
          </w:tcPr>
          <w:p w:rsidR="00134A44" w:rsidRDefault="009D0A9A">
            <w:r>
              <w:t>78,0</w:t>
            </w:r>
          </w:p>
        </w:tc>
        <w:tc>
          <w:tcPr>
            <w:tcW w:w="0" w:type="auto"/>
            <w:vAlign w:val="center"/>
            <w:hideMark/>
          </w:tcPr>
          <w:p w:rsidR="00134A44" w:rsidRDefault="009D0A9A">
            <w:r>
              <w:t>0,45</w:t>
            </w:r>
          </w:p>
        </w:tc>
      </w:tr>
      <w:tr w:rsidR="00134A44">
        <w:trPr>
          <w:trHeight w:val="270"/>
          <w:tblCellSpacing w:w="0" w:type="dxa"/>
        </w:trPr>
        <w:tc>
          <w:tcPr>
            <w:tcW w:w="0" w:type="auto"/>
            <w:vAlign w:val="center"/>
            <w:hideMark/>
          </w:tcPr>
          <w:p w:rsidR="00134A44" w:rsidRDefault="009D0A9A">
            <w:r>
              <w:t>Сундырь</w:t>
            </w:r>
          </w:p>
        </w:tc>
        <w:tc>
          <w:tcPr>
            <w:tcW w:w="0" w:type="auto"/>
            <w:vAlign w:val="center"/>
            <w:hideMark/>
          </w:tcPr>
          <w:p w:rsidR="00134A44" w:rsidRDefault="009D0A9A">
            <w:r>
              <w:t>1994</w:t>
            </w:r>
          </w:p>
        </w:tc>
        <w:tc>
          <w:tcPr>
            <w:tcW w:w="0" w:type="auto"/>
            <w:vAlign w:val="center"/>
            <w:hideMark/>
          </w:tcPr>
          <w:p w:rsidR="00134A44" w:rsidRDefault="009D0A9A">
            <w:r>
              <w:t>35/13</w:t>
            </w:r>
          </w:p>
        </w:tc>
        <w:tc>
          <w:tcPr>
            <w:tcW w:w="0" w:type="auto"/>
            <w:vAlign w:val="center"/>
            <w:hideMark/>
          </w:tcPr>
          <w:p w:rsidR="00134A44" w:rsidRDefault="009D0A9A">
            <w:r>
              <w:t>4</w:t>
            </w:r>
          </w:p>
        </w:tc>
        <w:tc>
          <w:tcPr>
            <w:tcW w:w="0" w:type="auto"/>
            <w:vAlign w:val="center"/>
            <w:hideMark/>
          </w:tcPr>
          <w:p w:rsidR="00134A44" w:rsidRDefault="009D0A9A">
            <w:r>
              <w:t>80,0</w:t>
            </w:r>
          </w:p>
        </w:tc>
        <w:tc>
          <w:tcPr>
            <w:tcW w:w="0" w:type="auto"/>
            <w:vAlign w:val="center"/>
            <w:hideMark/>
          </w:tcPr>
          <w:p w:rsidR="00134A44" w:rsidRDefault="009D0A9A">
            <w:r>
              <w:t>83,9</w:t>
            </w:r>
          </w:p>
        </w:tc>
        <w:tc>
          <w:tcPr>
            <w:tcW w:w="0" w:type="auto"/>
            <w:vAlign w:val="center"/>
            <w:hideMark/>
          </w:tcPr>
          <w:p w:rsidR="00134A44" w:rsidRDefault="009D0A9A">
            <w:r>
              <w:t>196,0</w:t>
            </w:r>
          </w:p>
        </w:tc>
        <w:tc>
          <w:tcPr>
            <w:tcW w:w="0" w:type="auto"/>
            <w:vAlign w:val="center"/>
            <w:hideMark/>
          </w:tcPr>
          <w:p w:rsidR="00134A44" w:rsidRDefault="009D0A9A">
            <w:r>
              <w:t>0,95</w:t>
            </w:r>
          </w:p>
        </w:tc>
      </w:tr>
    </w:tbl>
    <w:p w:rsidR="00134A44" w:rsidRPr="009D0A9A" w:rsidRDefault="009D0A9A">
      <w:pPr>
        <w:pStyle w:val="a3"/>
      </w:pPr>
      <w:r>
        <w:t>Гидрологическая характеристика малых рек Республики Мари Эл - Чебоксарского водохранилища</w:t>
      </w:r>
    </w:p>
    <w:p w:rsidR="00134A44" w:rsidRDefault="009D0A9A">
      <w:pPr>
        <w:pStyle w:val="a3"/>
      </w:pPr>
      <w:r>
        <w:t>Основное количество рек расположено в Левобережье Волги и относится к бассейнам Чебоксарского и Куйбышевского водохранилищ, а также бассейну реки Вятки. Правобережная часть Республики Марий Эл (Горная сторона) представляет собой возвышенную неровную и холмистую местность с общим уклоном на север к реке Волге. Она относится к северной окраине Приволжской возвышенности (высоты над уровнем моря составляют в среднем 160-190 м), поверхностные отложения которой представлены покровными лёссовидными суглинками. Почти все речные долины здесь глубокие, имеют трапециевидную форму и находятся в стадии донной эрозии. Значимые водотоки помимо Волги и Суры - реки Большая Юнга, Сундырь, Малая Юнга, Сумка (табл. 1).</w:t>
      </w:r>
    </w:p>
    <w:p w:rsidR="00134A44" w:rsidRDefault="009D0A9A">
      <w:pPr>
        <w:pStyle w:val="a3"/>
      </w:pPr>
      <w:r>
        <w:t>Ихтиологические исследования перечисленных рек до настоящего времени практически не проводились. Нами были выполнены такие исследования в сентябре 2011 г. с применением следующих орудий лова: мальковой волокуши (L=10 м, ячея 4 мм), невода (L=30 м, ячея в кутке 8 мм), для отлова самых мелких рыб применяли сачки из мельничного газа. Всего было произведено 28 ловов, в результате которых отловлено 1137 экземпляров рыб.</w:t>
      </w:r>
    </w:p>
    <w:p w:rsidR="00134A44" w:rsidRDefault="009D0A9A">
      <w:pPr>
        <w:pStyle w:val="a3"/>
      </w:pPr>
      <w:r>
        <w:t>Река Сумка обследована на 3 участках: среднее течение - у н. п. Пернянгаш, нижнее течение - у н.п. Ст. Правление, устьевой участок. Река Б. Юнга - на 4 участках: верхнее течение - у н.п. Мижары, среднее течение - у н.п. Миняшкино, нижнее течение - у н.п. Пертнуры, устьевой участок. Река М. Юнга на 2 участках: среднее течение - у н.п. Сидуково, нижнее течение - у н.п. Октябрьский. Река Сундырь - на 3 участках: средне течение - у н.п. Б. Сундырь, нижнее течение у н.п. Паулкино, устьевой участок (рис).</w:t>
      </w:r>
    </w:p>
    <w:p w:rsidR="00134A44" w:rsidRDefault="009D0A9A">
      <w:pPr>
        <w:pStyle w:val="a3"/>
      </w:pPr>
      <w:r>
        <w:t>Анализ и обсуждение результатов исследования. Ихтиофауна обследованных малых рек отличается достаточно высоким видовым богатством, в них отмечено 25 видов. Самой богатой по числу видов является р. Сундырь, наиболее бедное видовое разнообразие в М. Юнге.</w:t>
      </w:r>
    </w:p>
    <w:p w:rsidR="00134A44" w:rsidRDefault="009D0A9A">
      <w:pPr>
        <w:pStyle w:val="a3"/>
      </w:pPr>
      <w:r>
        <w:t>Во всех реках присутствуют окунь, пескарь обыкновенный, усатый голец, щиповки обыкновенная и сибирская. Везде, кроме М. Юнги, обитают также плотва и голавль. В целом видовой состав ихтиофауны притоков сильно различается.</w:t>
      </w:r>
    </w:p>
    <w:p w:rsidR="00134A44" w:rsidRDefault="009D0A9A">
      <w:pPr>
        <w:pStyle w:val="a3"/>
      </w:pPr>
      <w:r>
        <w:t>В исследованных реках встречаются виды, занесенные в Красную книгу Республики Марий Эл: гольян обыкновенный - в р. М. Юнга, горчак - в р. Б. Юнга.</w:t>
      </w:r>
    </w:p>
    <w:p w:rsidR="00134A44" w:rsidRDefault="009D0A9A">
      <w:pPr>
        <w:pStyle w:val="a3"/>
      </w:pPr>
      <w:r>
        <w:t>В данных реках отмечаются также инвазионные виды, проникшие в реки Республики Марий Эл в 1990-е - 2000-е годы: бычки кругляк, головач и цуцик, ротан и колюшка девятииглая. Бычки встречены в устьевом расширении Сундыря и нижнем течении Б. Юнги; колюшка - в среднем течении М. Юнги, среднем и нижнем течении Сундыря; ротан - в устьевых расширениях Сумки и Сундыря. (табл. 2).</w:t>
      </w:r>
    </w:p>
    <w:p w:rsidR="00134A44" w:rsidRDefault="00EF550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7.5pt;height:220.5pt">
            <v:imagedata r:id="rId4" o:title=""/>
          </v:shape>
        </w:pict>
      </w:r>
    </w:p>
    <w:p w:rsidR="00134A44" w:rsidRDefault="009D0A9A">
      <w:pPr>
        <w:pStyle w:val="a3"/>
      </w:pPr>
      <w:r>
        <w:t>Рисунок 1 - Точки ихтиологических исследований малых рек Республики Марий Эл - правобережных притоков Чебоксарского водохранилища</w:t>
      </w:r>
    </w:p>
    <w:p w:rsidR="00134A44" w:rsidRDefault="009D0A9A">
      <w:pPr>
        <w:pStyle w:val="a3"/>
      </w:pPr>
      <w:r>
        <w:t>Наблюдается различие в доминировании видов в указанных реках, так в р. Сумке основу ихтиофауны составляют плотва и ротан (почти 41,1% общего улова), в Б. Юнге - елец (30,2%) и уклея (26,3%), в М. Юнге - колюшка девятииглая (82,9%), в Сундыре - уклея (56,2%) (табл. 2).</w:t>
      </w:r>
    </w:p>
    <w:p w:rsidR="00134A44" w:rsidRDefault="009D0A9A">
      <w:pPr>
        <w:pStyle w:val="a3"/>
      </w:pPr>
      <w:r>
        <w:t>Верхнее и среднее течения рек носит рео- фильный характер: здесь встречаются гольян обыкновенный и елец. В нижнем течении и устьевых расширениях появляются лимно- фильные виды - лещ, красноперка, ротан и бычки.</w:t>
      </w:r>
    </w:p>
    <w:p w:rsidR="00134A44" w:rsidRDefault="009D0A9A">
      <w:pPr>
        <w:pStyle w:val="a3"/>
      </w:pPr>
      <w:r>
        <w:t>В целом количественные показатели ихтиофауны рек значительно варьируют в зависимости от протяженности реки и ее гидрологии. Наиболее богата по численности рыб М. Юнга (до 81,3 тыс. экз./га), по ихтиомассе - Сумка (до 230,1 кг/га).</w:t>
      </w:r>
    </w:p>
    <w:p w:rsidR="00134A44" w:rsidRDefault="009D0A9A">
      <w:pPr>
        <w:pStyle w:val="a3"/>
      </w:pPr>
      <w:r>
        <w:t>Устьевые участки и нижние течения исследованных малых рек попадают в зону затопления Чебоксарского водохранилища при подъеме его до отметки 68 мБС, что, несомненно, повлечет за собой изменение количественных и качественных характеристик рыбного населения. При этом неизбежна утрата мест обитания гольяна обыкновенного (вида, занесенного в Красную книгу республики) в нижнем течении притоков водохранилища за счет снижения скоростей течения, водообмена и заиливания ложа. Вероятно, гольян мигрирует в среднее и верхнее течение притоков, которые сохранят свой речной гидрологический характер.</w:t>
      </w:r>
    </w:p>
    <w:p w:rsidR="00134A44" w:rsidRDefault="009D0A9A">
      <w:pPr>
        <w:pStyle w:val="a3"/>
      </w:pPr>
      <w:r>
        <w:t>Таблица 2</w:t>
      </w:r>
    </w:p>
    <w:p w:rsidR="00134A44" w:rsidRDefault="009D0A9A">
      <w:pPr>
        <w:pStyle w:val="a3"/>
      </w:pPr>
      <w:r>
        <w:t>Ихтиофауна малых рек Республики Марий Эл (доля в уловах, %)</w:t>
      </w:r>
    </w:p>
    <w:p w:rsidR="00134A44" w:rsidRDefault="009D0A9A">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120"/>
        <w:gridCol w:w="120"/>
        <w:gridCol w:w="120"/>
        <w:gridCol w:w="120"/>
      </w:tblGrid>
      <w:tr w:rsidR="00134A44">
        <w:trPr>
          <w:trHeight w:val="210"/>
          <w:tblCellSpacing w:w="0" w:type="dxa"/>
        </w:trPr>
        <w:tc>
          <w:tcPr>
            <w:tcW w:w="0" w:type="auto"/>
            <w:vMerge w:val="restart"/>
            <w:vAlign w:val="center"/>
            <w:hideMark/>
          </w:tcPr>
          <w:p w:rsidR="00134A44" w:rsidRDefault="009D0A9A">
            <w:r>
              <w:t>Виды</w:t>
            </w:r>
          </w:p>
        </w:tc>
        <w:tc>
          <w:tcPr>
            <w:tcW w:w="0" w:type="auto"/>
            <w:gridSpan w:val="4"/>
            <w:vAlign w:val="center"/>
            <w:hideMark/>
          </w:tcPr>
          <w:p w:rsidR="00134A44" w:rsidRDefault="009D0A9A">
            <w:r>
              <w:t>Реки</w:t>
            </w:r>
          </w:p>
        </w:tc>
      </w:tr>
      <w:tr w:rsidR="00134A44">
        <w:trPr>
          <w:trHeight w:val="390"/>
          <w:tblCellSpacing w:w="0" w:type="dxa"/>
        </w:trPr>
        <w:tc>
          <w:tcPr>
            <w:tcW w:w="0" w:type="auto"/>
            <w:vMerge/>
            <w:vAlign w:val="center"/>
            <w:hideMark/>
          </w:tcPr>
          <w:p w:rsidR="00134A44" w:rsidRDefault="00134A44"/>
        </w:tc>
        <w:tc>
          <w:tcPr>
            <w:tcW w:w="0" w:type="auto"/>
            <w:vAlign w:val="center"/>
            <w:hideMark/>
          </w:tcPr>
          <w:p w:rsidR="00134A44" w:rsidRDefault="009D0A9A">
            <w:r>
              <w:t>Сумка</w:t>
            </w:r>
          </w:p>
        </w:tc>
        <w:tc>
          <w:tcPr>
            <w:tcW w:w="0" w:type="auto"/>
            <w:vAlign w:val="center"/>
            <w:hideMark/>
          </w:tcPr>
          <w:p w:rsidR="00134A44" w:rsidRDefault="009D0A9A">
            <w:r>
              <w:t>Б. Юнга</w:t>
            </w:r>
          </w:p>
        </w:tc>
        <w:tc>
          <w:tcPr>
            <w:tcW w:w="0" w:type="auto"/>
            <w:vAlign w:val="center"/>
            <w:hideMark/>
          </w:tcPr>
          <w:p w:rsidR="00134A44" w:rsidRDefault="009D0A9A">
            <w:r>
              <w:t>М. Юнга</w:t>
            </w:r>
          </w:p>
        </w:tc>
        <w:tc>
          <w:tcPr>
            <w:tcW w:w="0" w:type="auto"/>
            <w:vAlign w:val="center"/>
            <w:hideMark/>
          </w:tcPr>
          <w:p w:rsidR="00134A44" w:rsidRPr="009D0A9A" w:rsidRDefault="009D0A9A">
            <w:pPr>
              <w:pStyle w:val="a3"/>
            </w:pPr>
            <w:r w:rsidRPr="009D0A9A">
              <w:t>Сун-</w:t>
            </w:r>
          </w:p>
          <w:p w:rsidR="00134A44" w:rsidRPr="009D0A9A" w:rsidRDefault="009D0A9A">
            <w:pPr>
              <w:pStyle w:val="a3"/>
            </w:pPr>
            <w:r w:rsidRPr="009D0A9A">
              <w:t>дырь</w:t>
            </w:r>
          </w:p>
        </w:tc>
      </w:tr>
      <w:tr w:rsidR="00134A44">
        <w:trPr>
          <w:trHeight w:val="210"/>
          <w:tblCellSpacing w:w="0" w:type="dxa"/>
        </w:trPr>
        <w:tc>
          <w:tcPr>
            <w:tcW w:w="0" w:type="auto"/>
            <w:vAlign w:val="center"/>
            <w:hideMark/>
          </w:tcPr>
          <w:p w:rsidR="00134A44" w:rsidRDefault="009D0A9A">
            <w:r>
              <w:t>Лещ</w:t>
            </w:r>
          </w:p>
        </w:tc>
        <w:tc>
          <w:tcPr>
            <w:tcW w:w="0" w:type="auto"/>
            <w:vAlign w:val="center"/>
            <w:hideMark/>
          </w:tcPr>
          <w:p w:rsidR="00134A44" w:rsidRDefault="009D0A9A">
            <w:r>
              <w:t> </w:t>
            </w:r>
          </w:p>
        </w:tc>
        <w:tc>
          <w:tcPr>
            <w:tcW w:w="0" w:type="auto"/>
            <w:vAlign w:val="center"/>
            <w:hideMark/>
          </w:tcPr>
          <w:p w:rsidR="00134A44" w:rsidRDefault="009D0A9A">
            <w:r>
              <w:t>0,5</w:t>
            </w:r>
          </w:p>
        </w:tc>
        <w:tc>
          <w:tcPr>
            <w:tcW w:w="0" w:type="auto"/>
            <w:vAlign w:val="center"/>
            <w:hideMark/>
          </w:tcPr>
          <w:p w:rsidR="00134A44" w:rsidRDefault="009D0A9A">
            <w:r>
              <w:t> </w:t>
            </w:r>
          </w:p>
        </w:tc>
        <w:tc>
          <w:tcPr>
            <w:tcW w:w="0" w:type="auto"/>
            <w:vAlign w:val="center"/>
            <w:hideMark/>
          </w:tcPr>
          <w:p w:rsidR="00134A44" w:rsidRDefault="009D0A9A">
            <w:r>
              <w:t>0,6</w:t>
            </w:r>
          </w:p>
        </w:tc>
      </w:tr>
      <w:tr w:rsidR="00134A44">
        <w:trPr>
          <w:trHeight w:val="210"/>
          <w:tblCellSpacing w:w="0" w:type="dxa"/>
        </w:trPr>
        <w:tc>
          <w:tcPr>
            <w:tcW w:w="0" w:type="auto"/>
            <w:vAlign w:val="center"/>
            <w:hideMark/>
          </w:tcPr>
          <w:p w:rsidR="00134A44" w:rsidRPr="009D0A9A" w:rsidRDefault="009D0A9A">
            <w:pPr>
              <w:pStyle w:val="a3"/>
            </w:pPr>
            <w:r w:rsidRPr="009D0A9A">
              <w:t>а</w:t>
            </w:r>
          </w:p>
          <w:p w:rsidR="00134A44" w:rsidRPr="009D0A9A" w:rsidRDefault="009D0A9A">
            <w:pPr>
              <w:pStyle w:val="a3"/>
            </w:pPr>
            <w:r w:rsidRPr="009D0A9A">
              <w:t>к</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0,6</w:t>
            </w:r>
          </w:p>
        </w:tc>
      </w:tr>
      <w:tr w:rsidR="00134A44">
        <w:trPr>
          <w:trHeight w:val="210"/>
          <w:tblCellSpacing w:w="0" w:type="dxa"/>
        </w:trPr>
        <w:tc>
          <w:tcPr>
            <w:tcW w:w="0" w:type="auto"/>
            <w:vAlign w:val="center"/>
            <w:hideMark/>
          </w:tcPr>
          <w:p w:rsidR="00134A44" w:rsidRDefault="009D0A9A">
            <w:r>
              <w:t>Жерех</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1,3</w:t>
            </w:r>
          </w:p>
        </w:tc>
        <w:tc>
          <w:tcPr>
            <w:tcW w:w="0" w:type="auto"/>
            <w:vAlign w:val="center"/>
            <w:hideMark/>
          </w:tcPr>
          <w:p w:rsidR="00134A44" w:rsidRDefault="009D0A9A">
            <w:r>
              <w:t> </w:t>
            </w:r>
          </w:p>
        </w:tc>
      </w:tr>
      <w:tr w:rsidR="00134A44">
        <w:trPr>
          <w:trHeight w:val="210"/>
          <w:tblCellSpacing w:w="0" w:type="dxa"/>
        </w:trPr>
        <w:tc>
          <w:tcPr>
            <w:tcW w:w="0" w:type="auto"/>
            <w:vAlign w:val="center"/>
            <w:hideMark/>
          </w:tcPr>
          <w:p w:rsidR="00134A44" w:rsidRDefault="009D0A9A">
            <w:r>
              <w:t>Язь</w:t>
            </w:r>
          </w:p>
        </w:tc>
        <w:tc>
          <w:tcPr>
            <w:tcW w:w="0" w:type="auto"/>
            <w:vAlign w:val="center"/>
            <w:hideMark/>
          </w:tcPr>
          <w:p w:rsidR="00134A44" w:rsidRDefault="009D0A9A">
            <w:r>
              <w:t> </w:t>
            </w:r>
          </w:p>
        </w:tc>
        <w:tc>
          <w:tcPr>
            <w:tcW w:w="0" w:type="auto"/>
            <w:vAlign w:val="center"/>
            <w:hideMark/>
          </w:tcPr>
          <w:p w:rsidR="00134A44" w:rsidRDefault="009D0A9A">
            <w:r>
              <w:t>5,4</w:t>
            </w:r>
          </w:p>
        </w:tc>
        <w:tc>
          <w:tcPr>
            <w:tcW w:w="0" w:type="auto"/>
            <w:vAlign w:val="center"/>
            <w:hideMark/>
          </w:tcPr>
          <w:p w:rsidR="00134A44" w:rsidRDefault="009D0A9A">
            <w:r>
              <w:t> </w:t>
            </w:r>
          </w:p>
        </w:tc>
        <w:tc>
          <w:tcPr>
            <w:tcW w:w="0" w:type="auto"/>
            <w:vAlign w:val="center"/>
            <w:hideMark/>
          </w:tcPr>
          <w:p w:rsidR="00134A44" w:rsidRDefault="009D0A9A">
            <w:r>
              <w:t>6,5</w:t>
            </w:r>
          </w:p>
        </w:tc>
      </w:tr>
      <w:tr w:rsidR="00134A44">
        <w:trPr>
          <w:trHeight w:val="210"/>
          <w:tblCellSpacing w:w="0" w:type="dxa"/>
        </w:trPr>
        <w:tc>
          <w:tcPr>
            <w:tcW w:w="0" w:type="auto"/>
            <w:vAlign w:val="center"/>
            <w:hideMark/>
          </w:tcPr>
          <w:p w:rsidR="00134A44" w:rsidRDefault="009D0A9A">
            <w:r>
              <w:t>Плотва</w:t>
            </w:r>
          </w:p>
        </w:tc>
        <w:tc>
          <w:tcPr>
            <w:tcW w:w="0" w:type="auto"/>
            <w:vAlign w:val="center"/>
            <w:hideMark/>
          </w:tcPr>
          <w:p w:rsidR="00134A44" w:rsidRDefault="009D0A9A">
            <w:r>
              <w:t>41,1</w:t>
            </w:r>
          </w:p>
        </w:tc>
        <w:tc>
          <w:tcPr>
            <w:tcW w:w="0" w:type="auto"/>
            <w:vAlign w:val="center"/>
            <w:hideMark/>
          </w:tcPr>
          <w:p w:rsidR="00134A44" w:rsidRDefault="009D0A9A">
            <w:r>
              <w:t>2,5</w:t>
            </w:r>
          </w:p>
        </w:tc>
        <w:tc>
          <w:tcPr>
            <w:tcW w:w="0" w:type="auto"/>
            <w:vAlign w:val="center"/>
            <w:hideMark/>
          </w:tcPr>
          <w:p w:rsidR="00134A44" w:rsidRDefault="009D0A9A">
            <w:r>
              <w:t> </w:t>
            </w:r>
          </w:p>
        </w:tc>
        <w:tc>
          <w:tcPr>
            <w:tcW w:w="0" w:type="auto"/>
            <w:vAlign w:val="center"/>
            <w:hideMark/>
          </w:tcPr>
          <w:p w:rsidR="00134A44" w:rsidRDefault="009D0A9A">
            <w:r>
              <w:t>1,6</w:t>
            </w:r>
          </w:p>
        </w:tc>
      </w:tr>
      <w:tr w:rsidR="00134A44">
        <w:trPr>
          <w:trHeight w:val="210"/>
          <w:tblCellSpacing w:w="0" w:type="dxa"/>
        </w:trPr>
        <w:tc>
          <w:tcPr>
            <w:tcW w:w="0" w:type="auto"/>
            <w:vAlign w:val="center"/>
            <w:hideMark/>
          </w:tcPr>
          <w:p w:rsidR="00134A44" w:rsidRDefault="009D0A9A">
            <w:r>
              <w:t>Окунь</w:t>
            </w:r>
          </w:p>
        </w:tc>
        <w:tc>
          <w:tcPr>
            <w:tcW w:w="0" w:type="auto"/>
            <w:vAlign w:val="center"/>
            <w:hideMark/>
          </w:tcPr>
          <w:p w:rsidR="00134A44" w:rsidRDefault="009D0A9A">
            <w:r>
              <w:t>5,7</w:t>
            </w:r>
          </w:p>
        </w:tc>
        <w:tc>
          <w:tcPr>
            <w:tcW w:w="0" w:type="auto"/>
            <w:vAlign w:val="center"/>
            <w:hideMark/>
          </w:tcPr>
          <w:p w:rsidR="00134A44" w:rsidRDefault="009D0A9A">
            <w:r>
              <w:t>6,1</w:t>
            </w:r>
          </w:p>
        </w:tc>
        <w:tc>
          <w:tcPr>
            <w:tcW w:w="0" w:type="auto"/>
            <w:vAlign w:val="center"/>
            <w:hideMark/>
          </w:tcPr>
          <w:p w:rsidR="00134A44" w:rsidRDefault="009D0A9A">
            <w:r>
              <w:t>1,3</w:t>
            </w:r>
          </w:p>
        </w:tc>
        <w:tc>
          <w:tcPr>
            <w:tcW w:w="0" w:type="auto"/>
            <w:vAlign w:val="center"/>
            <w:hideMark/>
          </w:tcPr>
          <w:p w:rsidR="00134A44" w:rsidRDefault="009D0A9A">
            <w:r>
              <w:t>12,4</w:t>
            </w:r>
          </w:p>
        </w:tc>
      </w:tr>
      <w:tr w:rsidR="00134A44">
        <w:trPr>
          <w:trHeight w:val="210"/>
          <w:tblCellSpacing w:w="0" w:type="dxa"/>
        </w:trPr>
        <w:tc>
          <w:tcPr>
            <w:tcW w:w="0" w:type="auto"/>
            <w:vAlign w:val="center"/>
            <w:hideMark/>
          </w:tcPr>
          <w:p w:rsidR="00134A44" w:rsidRDefault="009D0A9A">
            <w:r>
              <w:t>Красноперка</w:t>
            </w:r>
          </w:p>
        </w:tc>
        <w:tc>
          <w:tcPr>
            <w:tcW w:w="0" w:type="auto"/>
            <w:vAlign w:val="center"/>
            <w:hideMark/>
          </w:tcPr>
          <w:p w:rsidR="00134A44" w:rsidRDefault="009D0A9A">
            <w:r>
              <w:t>2,5</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2,2</w:t>
            </w:r>
          </w:p>
        </w:tc>
      </w:tr>
      <w:tr w:rsidR="00134A44">
        <w:trPr>
          <w:trHeight w:val="210"/>
          <w:tblCellSpacing w:w="0" w:type="dxa"/>
        </w:trPr>
        <w:tc>
          <w:tcPr>
            <w:tcW w:w="0" w:type="auto"/>
            <w:vAlign w:val="center"/>
            <w:hideMark/>
          </w:tcPr>
          <w:p w:rsidR="00134A44" w:rsidRDefault="009D0A9A">
            <w:r>
              <w:t>Карась</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0,3</w:t>
            </w:r>
          </w:p>
        </w:tc>
      </w:tr>
      <w:tr w:rsidR="00134A44">
        <w:trPr>
          <w:trHeight w:val="210"/>
          <w:tblCellSpacing w:w="0" w:type="dxa"/>
        </w:trPr>
        <w:tc>
          <w:tcPr>
            <w:tcW w:w="0" w:type="auto"/>
            <w:vAlign w:val="center"/>
            <w:hideMark/>
          </w:tcPr>
          <w:p w:rsidR="00134A44" w:rsidRDefault="009D0A9A">
            <w:r>
              <w:t>Линь</w:t>
            </w:r>
          </w:p>
        </w:tc>
        <w:tc>
          <w:tcPr>
            <w:tcW w:w="0" w:type="auto"/>
            <w:vAlign w:val="center"/>
            <w:hideMark/>
          </w:tcPr>
          <w:p w:rsidR="00134A44" w:rsidRDefault="009D0A9A">
            <w:r>
              <w:t>1,9</w:t>
            </w:r>
          </w:p>
        </w:tc>
        <w:tc>
          <w:tcPr>
            <w:tcW w:w="0" w:type="auto"/>
            <w:vAlign w:val="center"/>
            <w:hideMark/>
          </w:tcPr>
          <w:p w:rsidR="00134A44" w:rsidRDefault="009D0A9A">
            <w:r>
              <w:t>0,2</w:t>
            </w:r>
          </w:p>
        </w:tc>
        <w:tc>
          <w:tcPr>
            <w:tcW w:w="0" w:type="auto"/>
            <w:vAlign w:val="center"/>
            <w:hideMark/>
          </w:tcPr>
          <w:p w:rsidR="00134A44" w:rsidRDefault="009D0A9A">
            <w:r>
              <w:t> </w:t>
            </w:r>
          </w:p>
        </w:tc>
        <w:tc>
          <w:tcPr>
            <w:tcW w:w="0" w:type="auto"/>
            <w:vAlign w:val="center"/>
            <w:hideMark/>
          </w:tcPr>
          <w:p w:rsidR="00134A44" w:rsidRDefault="009D0A9A">
            <w:r>
              <w:t> </w:t>
            </w:r>
          </w:p>
        </w:tc>
      </w:tr>
      <w:tr w:rsidR="00134A44">
        <w:trPr>
          <w:trHeight w:val="210"/>
          <w:tblCellSpacing w:w="0" w:type="dxa"/>
        </w:trPr>
        <w:tc>
          <w:tcPr>
            <w:tcW w:w="0" w:type="auto"/>
            <w:vAlign w:val="center"/>
            <w:hideMark/>
          </w:tcPr>
          <w:p w:rsidR="00134A44" w:rsidRDefault="009D0A9A">
            <w:r>
              <w:t>Голавль</w:t>
            </w:r>
          </w:p>
        </w:tc>
        <w:tc>
          <w:tcPr>
            <w:tcW w:w="0" w:type="auto"/>
            <w:vAlign w:val="center"/>
            <w:hideMark/>
          </w:tcPr>
          <w:p w:rsidR="00134A44" w:rsidRDefault="009D0A9A">
            <w:r>
              <w:t>0,6</w:t>
            </w:r>
          </w:p>
        </w:tc>
        <w:tc>
          <w:tcPr>
            <w:tcW w:w="0" w:type="auto"/>
            <w:vAlign w:val="center"/>
            <w:hideMark/>
          </w:tcPr>
          <w:p w:rsidR="00134A44" w:rsidRDefault="009D0A9A">
            <w:r>
              <w:t>1,6</w:t>
            </w:r>
          </w:p>
        </w:tc>
        <w:tc>
          <w:tcPr>
            <w:tcW w:w="0" w:type="auto"/>
            <w:vAlign w:val="center"/>
            <w:hideMark/>
          </w:tcPr>
          <w:p w:rsidR="00134A44" w:rsidRDefault="009D0A9A">
            <w:r>
              <w:t> </w:t>
            </w:r>
          </w:p>
        </w:tc>
        <w:tc>
          <w:tcPr>
            <w:tcW w:w="0" w:type="auto"/>
            <w:vAlign w:val="center"/>
            <w:hideMark/>
          </w:tcPr>
          <w:p w:rsidR="00134A44" w:rsidRDefault="009D0A9A">
            <w:r>
              <w:t>5,9</w:t>
            </w:r>
          </w:p>
        </w:tc>
      </w:tr>
      <w:tr w:rsidR="00134A44">
        <w:trPr>
          <w:trHeight w:val="210"/>
          <w:tblCellSpacing w:w="0" w:type="dxa"/>
        </w:trPr>
        <w:tc>
          <w:tcPr>
            <w:tcW w:w="0" w:type="auto"/>
            <w:vAlign w:val="center"/>
            <w:hideMark/>
          </w:tcPr>
          <w:p w:rsidR="00134A44" w:rsidRDefault="009D0A9A">
            <w:r>
              <w:t>Уклея</w:t>
            </w:r>
          </w:p>
        </w:tc>
        <w:tc>
          <w:tcPr>
            <w:tcW w:w="0" w:type="auto"/>
            <w:vAlign w:val="center"/>
            <w:hideMark/>
          </w:tcPr>
          <w:p w:rsidR="00134A44" w:rsidRDefault="009D0A9A">
            <w:r>
              <w:t> </w:t>
            </w:r>
          </w:p>
        </w:tc>
        <w:tc>
          <w:tcPr>
            <w:tcW w:w="0" w:type="auto"/>
            <w:vAlign w:val="center"/>
            <w:hideMark/>
          </w:tcPr>
          <w:p w:rsidR="00134A44" w:rsidRDefault="009D0A9A">
            <w:r>
              <w:t>26,3</w:t>
            </w:r>
          </w:p>
        </w:tc>
        <w:tc>
          <w:tcPr>
            <w:tcW w:w="0" w:type="auto"/>
            <w:vAlign w:val="center"/>
            <w:hideMark/>
          </w:tcPr>
          <w:p w:rsidR="00134A44" w:rsidRDefault="009D0A9A">
            <w:r>
              <w:t> </w:t>
            </w:r>
          </w:p>
        </w:tc>
        <w:tc>
          <w:tcPr>
            <w:tcW w:w="0" w:type="auto"/>
            <w:vAlign w:val="center"/>
            <w:hideMark/>
          </w:tcPr>
          <w:p w:rsidR="00134A44" w:rsidRDefault="009D0A9A">
            <w:r>
              <w:t>56,2</w:t>
            </w:r>
          </w:p>
        </w:tc>
      </w:tr>
      <w:tr w:rsidR="00134A44">
        <w:trPr>
          <w:trHeight w:val="210"/>
          <w:tblCellSpacing w:w="0" w:type="dxa"/>
        </w:trPr>
        <w:tc>
          <w:tcPr>
            <w:tcW w:w="0" w:type="auto"/>
            <w:vAlign w:val="center"/>
            <w:hideMark/>
          </w:tcPr>
          <w:p w:rsidR="00134A44" w:rsidRDefault="009D0A9A">
            <w:r>
              <w:t>Ерш</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0,9</w:t>
            </w:r>
          </w:p>
        </w:tc>
      </w:tr>
      <w:tr w:rsidR="00134A44">
        <w:trPr>
          <w:trHeight w:val="210"/>
          <w:tblCellSpacing w:w="0" w:type="dxa"/>
        </w:trPr>
        <w:tc>
          <w:tcPr>
            <w:tcW w:w="0" w:type="auto"/>
            <w:vAlign w:val="center"/>
            <w:hideMark/>
          </w:tcPr>
          <w:p w:rsidR="00134A44" w:rsidRDefault="009D0A9A">
            <w:r>
              <w:t>Елец</w:t>
            </w:r>
          </w:p>
        </w:tc>
        <w:tc>
          <w:tcPr>
            <w:tcW w:w="0" w:type="auto"/>
            <w:vAlign w:val="center"/>
            <w:hideMark/>
          </w:tcPr>
          <w:p w:rsidR="00134A44" w:rsidRDefault="009D0A9A">
            <w:r>
              <w:t> </w:t>
            </w:r>
          </w:p>
        </w:tc>
        <w:tc>
          <w:tcPr>
            <w:tcW w:w="0" w:type="auto"/>
            <w:vAlign w:val="center"/>
            <w:hideMark/>
          </w:tcPr>
          <w:p w:rsidR="00134A44" w:rsidRDefault="009D0A9A">
            <w:r>
              <w:t>30,2</w:t>
            </w:r>
          </w:p>
        </w:tc>
        <w:tc>
          <w:tcPr>
            <w:tcW w:w="0" w:type="auto"/>
            <w:vAlign w:val="center"/>
            <w:hideMark/>
          </w:tcPr>
          <w:p w:rsidR="00134A44" w:rsidRDefault="009D0A9A">
            <w:r>
              <w:t> </w:t>
            </w:r>
          </w:p>
        </w:tc>
        <w:tc>
          <w:tcPr>
            <w:tcW w:w="0" w:type="auto"/>
            <w:vAlign w:val="center"/>
            <w:hideMark/>
          </w:tcPr>
          <w:p w:rsidR="00134A44" w:rsidRDefault="009D0A9A">
            <w:r>
              <w:t>0,9</w:t>
            </w:r>
          </w:p>
        </w:tc>
      </w:tr>
      <w:tr w:rsidR="00134A44">
        <w:trPr>
          <w:trHeight w:val="195"/>
          <w:tblCellSpacing w:w="0" w:type="dxa"/>
        </w:trPr>
        <w:tc>
          <w:tcPr>
            <w:tcW w:w="0" w:type="auto"/>
            <w:vAlign w:val="center"/>
            <w:hideMark/>
          </w:tcPr>
          <w:p w:rsidR="00134A44" w:rsidRDefault="009D0A9A">
            <w:r>
              <w:t>Пескарь</w:t>
            </w:r>
          </w:p>
        </w:tc>
        <w:tc>
          <w:tcPr>
            <w:tcW w:w="0" w:type="auto"/>
            <w:vAlign w:val="center"/>
            <w:hideMark/>
          </w:tcPr>
          <w:p w:rsidR="00134A44" w:rsidRDefault="009D0A9A">
            <w:r>
              <w:t>2,5</w:t>
            </w:r>
          </w:p>
        </w:tc>
        <w:tc>
          <w:tcPr>
            <w:tcW w:w="0" w:type="auto"/>
            <w:vAlign w:val="center"/>
            <w:hideMark/>
          </w:tcPr>
          <w:p w:rsidR="00134A44" w:rsidRDefault="009D0A9A">
            <w:r>
              <w:t>11,6</w:t>
            </w:r>
          </w:p>
        </w:tc>
        <w:tc>
          <w:tcPr>
            <w:tcW w:w="0" w:type="auto"/>
            <w:vAlign w:val="center"/>
            <w:hideMark/>
          </w:tcPr>
          <w:p w:rsidR="00134A44" w:rsidRDefault="009D0A9A">
            <w:r>
              <w:t>5,3</w:t>
            </w:r>
          </w:p>
        </w:tc>
        <w:tc>
          <w:tcPr>
            <w:tcW w:w="0" w:type="auto"/>
            <w:vAlign w:val="center"/>
            <w:hideMark/>
          </w:tcPr>
          <w:p w:rsidR="00134A44" w:rsidRDefault="009D0A9A">
            <w:r>
              <w:t>1,9</w:t>
            </w:r>
          </w:p>
        </w:tc>
      </w:tr>
      <w:tr w:rsidR="00134A44">
        <w:trPr>
          <w:trHeight w:val="210"/>
          <w:tblCellSpacing w:w="0" w:type="dxa"/>
        </w:trPr>
        <w:tc>
          <w:tcPr>
            <w:tcW w:w="0" w:type="auto"/>
            <w:vAlign w:val="center"/>
            <w:hideMark/>
          </w:tcPr>
          <w:p w:rsidR="00134A44" w:rsidRDefault="009D0A9A">
            <w:r>
              <w:t>Бычок кругляк</w:t>
            </w:r>
          </w:p>
        </w:tc>
        <w:tc>
          <w:tcPr>
            <w:tcW w:w="0" w:type="auto"/>
            <w:vAlign w:val="center"/>
            <w:hideMark/>
          </w:tcPr>
          <w:p w:rsidR="00134A44" w:rsidRDefault="009D0A9A">
            <w:r>
              <w:t> </w:t>
            </w:r>
          </w:p>
        </w:tc>
        <w:tc>
          <w:tcPr>
            <w:tcW w:w="0" w:type="auto"/>
            <w:vAlign w:val="center"/>
            <w:hideMark/>
          </w:tcPr>
          <w:p w:rsidR="00134A44" w:rsidRDefault="009D0A9A">
            <w:r>
              <w:t>0,7</w:t>
            </w:r>
          </w:p>
        </w:tc>
        <w:tc>
          <w:tcPr>
            <w:tcW w:w="0" w:type="auto"/>
            <w:vAlign w:val="center"/>
            <w:hideMark/>
          </w:tcPr>
          <w:p w:rsidR="00134A44" w:rsidRDefault="009D0A9A">
            <w:r>
              <w:t> </w:t>
            </w:r>
          </w:p>
        </w:tc>
        <w:tc>
          <w:tcPr>
            <w:tcW w:w="0" w:type="auto"/>
            <w:vAlign w:val="center"/>
            <w:hideMark/>
          </w:tcPr>
          <w:p w:rsidR="00134A44" w:rsidRDefault="009D0A9A">
            <w:r>
              <w:t>0,6</w:t>
            </w:r>
          </w:p>
        </w:tc>
      </w:tr>
      <w:tr w:rsidR="00134A44">
        <w:trPr>
          <w:trHeight w:val="210"/>
          <w:tblCellSpacing w:w="0" w:type="dxa"/>
        </w:trPr>
        <w:tc>
          <w:tcPr>
            <w:tcW w:w="0" w:type="auto"/>
            <w:vAlign w:val="center"/>
            <w:hideMark/>
          </w:tcPr>
          <w:p w:rsidR="00134A44" w:rsidRDefault="009D0A9A">
            <w:r>
              <w:t>Бычок головач</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1,6</w:t>
            </w:r>
          </w:p>
        </w:tc>
      </w:tr>
      <w:tr w:rsidR="00134A44">
        <w:trPr>
          <w:trHeight w:val="210"/>
          <w:tblCellSpacing w:w="0" w:type="dxa"/>
        </w:trPr>
        <w:tc>
          <w:tcPr>
            <w:tcW w:w="0" w:type="auto"/>
            <w:vAlign w:val="center"/>
            <w:hideMark/>
          </w:tcPr>
          <w:p w:rsidR="00134A44" w:rsidRDefault="009D0A9A">
            <w:r>
              <w:t>Бычок цуцик</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2,5</w:t>
            </w:r>
          </w:p>
        </w:tc>
      </w:tr>
      <w:tr w:rsidR="00134A44">
        <w:trPr>
          <w:trHeight w:val="210"/>
          <w:tblCellSpacing w:w="0" w:type="dxa"/>
        </w:trPr>
        <w:tc>
          <w:tcPr>
            <w:tcW w:w="0" w:type="auto"/>
            <w:vAlign w:val="center"/>
            <w:hideMark/>
          </w:tcPr>
          <w:p w:rsidR="00134A44" w:rsidRDefault="009D0A9A">
            <w:r>
              <w:t>Верховка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1,3</w:t>
            </w:r>
          </w:p>
        </w:tc>
        <w:tc>
          <w:tcPr>
            <w:tcW w:w="0" w:type="auto"/>
            <w:vAlign w:val="center"/>
            <w:hideMark/>
          </w:tcPr>
          <w:p w:rsidR="00134A44" w:rsidRDefault="009D0A9A">
            <w:r>
              <w:t>0,3</w:t>
            </w:r>
          </w:p>
        </w:tc>
      </w:tr>
      <w:tr w:rsidR="00134A44">
        <w:trPr>
          <w:trHeight w:val="210"/>
          <w:tblCellSpacing w:w="0" w:type="dxa"/>
        </w:trPr>
        <w:tc>
          <w:tcPr>
            <w:tcW w:w="0" w:type="auto"/>
            <w:vAlign w:val="center"/>
            <w:hideMark/>
          </w:tcPr>
          <w:p w:rsidR="00134A44" w:rsidRDefault="009D0A9A">
            <w:r>
              <w:t>Голец</w:t>
            </w:r>
          </w:p>
        </w:tc>
        <w:tc>
          <w:tcPr>
            <w:tcW w:w="0" w:type="auto"/>
            <w:vAlign w:val="center"/>
            <w:hideMark/>
          </w:tcPr>
          <w:p w:rsidR="00134A44" w:rsidRDefault="009D0A9A">
            <w:r>
              <w:t>2,5</w:t>
            </w:r>
          </w:p>
        </w:tc>
        <w:tc>
          <w:tcPr>
            <w:tcW w:w="0" w:type="auto"/>
            <w:vAlign w:val="center"/>
            <w:hideMark/>
          </w:tcPr>
          <w:p w:rsidR="00134A44" w:rsidRDefault="009D0A9A">
            <w:r>
              <w:t>2,7</w:t>
            </w:r>
          </w:p>
        </w:tc>
        <w:tc>
          <w:tcPr>
            <w:tcW w:w="0" w:type="auto"/>
            <w:vAlign w:val="center"/>
            <w:hideMark/>
          </w:tcPr>
          <w:p w:rsidR="00134A44" w:rsidRDefault="009D0A9A">
            <w:r>
              <w:t>1,3</w:t>
            </w:r>
          </w:p>
        </w:tc>
        <w:tc>
          <w:tcPr>
            <w:tcW w:w="0" w:type="auto"/>
            <w:vAlign w:val="center"/>
            <w:hideMark/>
          </w:tcPr>
          <w:p w:rsidR="00134A44" w:rsidRDefault="009D0A9A">
            <w:r>
              <w:t>0,6</w:t>
            </w:r>
          </w:p>
        </w:tc>
      </w:tr>
      <w:tr w:rsidR="00134A44">
        <w:trPr>
          <w:trHeight w:val="210"/>
          <w:tblCellSpacing w:w="0" w:type="dxa"/>
        </w:trPr>
        <w:tc>
          <w:tcPr>
            <w:tcW w:w="0" w:type="auto"/>
            <w:vAlign w:val="center"/>
            <w:hideMark/>
          </w:tcPr>
          <w:p w:rsidR="00134A44" w:rsidRDefault="009D0A9A">
            <w:r>
              <w:t>Щиповка</w:t>
            </w:r>
          </w:p>
        </w:tc>
        <w:tc>
          <w:tcPr>
            <w:tcW w:w="0" w:type="auto"/>
            <w:vAlign w:val="center"/>
            <w:hideMark/>
          </w:tcPr>
          <w:p w:rsidR="00134A44" w:rsidRDefault="009D0A9A">
            <w:r>
              <w:t>0,6</w:t>
            </w:r>
          </w:p>
        </w:tc>
        <w:tc>
          <w:tcPr>
            <w:tcW w:w="0" w:type="auto"/>
            <w:vAlign w:val="center"/>
            <w:hideMark/>
          </w:tcPr>
          <w:p w:rsidR="00134A44" w:rsidRDefault="009D0A9A">
            <w:r>
              <w:t>4,1</w:t>
            </w:r>
          </w:p>
        </w:tc>
        <w:tc>
          <w:tcPr>
            <w:tcW w:w="0" w:type="auto"/>
            <w:vAlign w:val="center"/>
            <w:hideMark/>
          </w:tcPr>
          <w:p w:rsidR="00134A44" w:rsidRDefault="009D0A9A">
            <w:r>
              <w:t>1,3</w:t>
            </w:r>
          </w:p>
        </w:tc>
        <w:tc>
          <w:tcPr>
            <w:tcW w:w="0" w:type="auto"/>
            <w:vAlign w:val="center"/>
            <w:hideMark/>
          </w:tcPr>
          <w:p w:rsidR="00134A44" w:rsidRDefault="009D0A9A">
            <w:r>
              <w:t>0,3</w:t>
            </w:r>
          </w:p>
        </w:tc>
      </w:tr>
      <w:tr w:rsidR="00134A44">
        <w:trPr>
          <w:trHeight w:val="390"/>
          <w:tblCellSpacing w:w="0" w:type="dxa"/>
        </w:trPr>
        <w:tc>
          <w:tcPr>
            <w:tcW w:w="0" w:type="auto"/>
            <w:vAlign w:val="center"/>
            <w:hideMark/>
          </w:tcPr>
          <w:p w:rsidR="00134A44" w:rsidRDefault="009D0A9A">
            <w:r>
              <w:t>Щиповка сибирская</w:t>
            </w:r>
          </w:p>
        </w:tc>
        <w:tc>
          <w:tcPr>
            <w:tcW w:w="0" w:type="auto"/>
            <w:vAlign w:val="center"/>
            <w:hideMark/>
          </w:tcPr>
          <w:p w:rsidR="00134A44" w:rsidRDefault="009D0A9A">
            <w:r>
              <w:t>0,6</w:t>
            </w:r>
          </w:p>
        </w:tc>
        <w:tc>
          <w:tcPr>
            <w:tcW w:w="0" w:type="auto"/>
            <w:vAlign w:val="center"/>
            <w:hideMark/>
          </w:tcPr>
          <w:p w:rsidR="00134A44" w:rsidRDefault="009D0A9A">
            <w:r>
              <w:t>0,2</w:t>
            </w:r>
          </w:p>
        </w:tc>
        <w:tc>
          <w:tcPr>
            <w:tcW w:w="0" w:type="auto"/>
            <w:vAlign w:val="center"/>
            <w:hideMark/>
          </w:tcPr>
          <w:p w:rsidR="00134A44" w:rsidRDefault="009D0A9A">
            <w:r>
              <w:t>5,3</w:t>
            </w:r>
          </w:p>
        </w:tc>
        <w:tc>
          <w:tcPr>
            <w:tcW w:w="0" w:type="auto"/>
            <w:vAlign w:val="center"/>
            <w:hideMark/>
          </w:tcPr>
          <w:p w:rsidR="00134A44" w:rsidRDefault="009D0A9A">
            <w:r>
              <w:t>0,6</w:t>
            </w:r>
          </w:p>
        </w:tc>
      </w:tr>
      <w:tr w:rsidR="00134A44">
        <w:trPr>
          <w:trHeight w:val="210"/>
          <w:tblCellSpacing w:w="0" w:type="dxa"/>
        </w:trPr>
        <w:tc>
          <w:tcPr>
            <w:tcW w:w="0" w:type="auto"/>
            <w:vAlign w:val="center"/>
            <w:hideMark/>
          </w:tcPr>
          <w:p w:rsidR="00134A44" w:rsidRDefault="009D0A9A">
            <w:r>
              <w:t>Ротан</w:t>
            </w:r>
          </w:p>
        </w:tc>
        <w:tc>
          <w:tcPr>
            <w:tcW w:w="0" w:type="auto"/>
            <w:vAlign w:val="center"/>
            <w:hideMark/>
          </w:tcPr>
          <w:p w:rsidR="00134A44" w:rsidRDefault="009D0A9A">
            <w:r>
              <w:t>41,1</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1,9</w:t>
            </w:r>
          </w:p>
        </w:tc>
      </w:tr>
      <w:tr w:rsidR="00134A44">
        <w:trPr>
          <w:trHeight w:val="390"/>
          <w:tblCellSpacing w:w="0" w:type="dxa"/>
        </w:trPr>
        <w:tc>
          <w:tcPr>
            <w:tcW w:w="0" w:type="auto"/>
            <w:vAlign w:val="center"/>
            <w:hideMark/>
          </w:tcPr>
          <w:p w:rsidR="00134A44" w:rsidRPr="009D0A9A" w:rsidRDefault="009D0A9A">
            <w:pPr>
              <w:pStyle w:val="a3"/>
            </w:pPr>
            <w:r w:rsidRPr="009D0A9A">
              <w:t>Гольян</w:t>
            </w:r>
          </w:p>
          <w:p w:rsidR="00134A44" w:rsidRPr="009D0A9A" w:rsidRDefault="009D0A9A">
            <w:pPr>
              <w:pStyle w:val="a3"/>
            </w:pPr>
            <w:r w:rsidRPr="009D0A9A">
              <w:t>обыкновенный</w:t>
            </w:r>
          </w:p>
        </w:tc>
        <w:tc>
          <w:tcPr>
            <w:tcW w:w="0" w:type="auto"/>
            <w:vAlign w:val="center"/>
            <w:hideMark/>
          </w:tcPr>
          <w:p w:rsidR="00134A44" w:rsidRDefault="009D0A9A">
            <w:r>
              <w:t>0,6</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r>
      <w:tr w:rsidR="00134A44">
        <w:trPr>
          <w:trHeight w:val="390"/>
          <w:tblCellSpacing w:w="0" w:type="dxa"/>
        </w:trPr>
        <w:tc>
          <w:tcPr>
            <w:tcW w:w="0" w:type="auto"/>
            <w:vAlign w:val="center"/>
            <w:hideMark/>
          </w:tcPr>
          <w:p w:rsidR="00134A44" w:rsidRDefault="009D0A9A">
            <w:r>
              <w:t>Колюшка 9- иглая</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82,9</w:t>
            </w:r>
          </w:p>
        </w:tc>
        <w:tc>
          <w:tcPr>
            <w:tcW w:w="0" w:type="auto"/>
            <w:vAlign w:val="center"/>
            <w:hideMark/>
          </w:tcPr>
          <w:p w:rsidR="00134A44" w:rsidRDefault="009D0A9A">
            <w:r>
              <w:t>1,6</w:t>
            </w:r>
          </w:p>
        </w:tc>
      </w:tr>
      <w:tr w:rsidR="00134A44">
        <w:trPr>
          <w:trHeight w:val="210"/>
          <w:tblCellSpacing w:w="0" w:type="dxa"/>
        </w:trPr>
        <w:tc>
          <w:tcPr>
            <w:tcW w:w="0" w:type="auto"/>
            <w:vAlign w:val="center"/>
            <w:hideMark/>
          </w:tcPr>
          <w:p w:rsidR="00134A44" w:rsidRDefault="009D0A9A">
            <w:r>
              <w:t>Горчак</w:t>
            </w:r>
          </w:p>
        </w:tc>
        <w:tc>
          <w:tcPr>
            <w:tcW w:w="0" w:type="auto"/>
            <w:vAlign w:val="center"/>
            <w:hideMark/>
          </w:tcPr>
          <w:p w:rsidR="00134A44" w:rsidRDefault="009D0A9A">
            <w:r>
              <w:t> </w:t>
            </w:r>
          </w:p>
        </w:tc>
        <w:tc>
          <w:tcPr>
            <w:tcW w:w="0" w:type="auto"/>
            <w:vAlign w:val="center"/>
            <w:hideMark/>
          </w:tcPr>
          <w:p w:rsidR="00134A44" w:rsidRDefault="009D0A9A">
            <w:r>
              <w:t>7,9</w:t>
            </w:r>
          </w:p>
        </w:tc>
        <w:tc>
          <w:tcPr>
            <w:tcW w:w="0" w:type="auto"/>
            <w:vAlign w:val="center"/>
            <w:hideMark/>
          </w:tcPr>
          <w:p w:rsidR="00134A44" w:rsidRDefault="009D0A9A">
            <w:r>
              <w:t> </w:t>
            </w:r>
          </w:p>
        </w:tc>
        <w:tc>
          <w:tcPr>
            <w:tcW w:w="0" w:type="auto"/>
            <w:vAlign w:val="center"/>
            <w:hideMark/>
          </w:tcPr>
          <w:p w:rsidR="00134A44" w:rsidRDefault="009D0A9A">
            <w:r>
              <w:t> </w:t>
            </w:r>
          </w:p>
        </w:tc>
      </w:tr>
      <w:tr w:rsidR="00134A44">
        <w:trPr>
          <w:trHeight w:val="225"/>
          <w:tblCellSpacing w:w="0" w:type="dxa"/>
        </w:trPr>
        <w:tc>
          <w:tcPr>
            <w:tcW w:w="0" w:type="auto"/>
            <w:vAlign w:val="center"/>
            <w:hideMark/>
          </w:tcPr>
          <w:p w:rsidR="00134A44" w:rsidRDefault="009D0A9A">
            <w:r>
              <w:t>Всего</w:t>
            </w:r>
          </w:p>
        </w:tc>
        <w:tc>
          <w:tcPr>
            <w:tcW w:w="0" w:type="auto"/>
            <w:vAlign w:val="center"/>
            <w:hideMark/>
          </w:tcPr>
          <w:p w:rsidR="00134A44" w:rsidRDefault="009D0A9A">
            <w:r>
              <w:t>100</w:t>
            </w:r>
          </w:p>
        </w:tc>
        <w:tc>
          <w:tcPr>
            <w:tcW w:w="0" w:type="auto"/>
            <w:vAlign w:val="center"/>
            <w:hideMark/>
          </w:tcPr>
          <w:p w:rsidR="00134A44" w:rsidRDefault="009D0A9A">
            <w:r>
              <w:t>100</w:t>
            </w:r>
          </w:p>
        </w:tc>
        <w:tc>
          <w:tcPr>
            <w:tcW w:w="0" w:type="auto"/>
            <w:vAlign w:val="center"/>
            <w:hideMark/>
          </w:tcPr>
          <w:p w:rsidR="00134A44" w:rsidRDefault="009D0A9A">
            <w:r>
              <w:t>100</w:t>
            </w:r>
          </w:p>
        </w:tc>
        <w:tc>
          <w:tcPr>
            <w:tcW w:w="0" w:type="auto"/>
            <w:vAlign w:val="center"/>
            <w:hideMark/>
          </w:tcPr>
          <w:p w:rsidR="00134A44" w:rsidRDefault="009D0A9A">
            <w:r>
              <w:t>100</w:t>
            </w:r>
          </w:p>
        </w:tc>
      </w:tr>
    </w:tbl>
    <w:p w:rsidR="00134A44" w:rsidRPr="009D0A9A" w:rsidRDefault="009D0A9A">
      <w:pPr>
        <w:pStyle w:val="a3"/>
      </w:pPr>
      <w:r>
        <w:t>Выполнен структурно-информационный анализ ихтиофауны малых рек, где сравнивались количество видов рыб, их численность и ихтиомасса, а также определено видовое богатство с применением различных экологических индексов биологического разнообразия - Маргалефа, Шеннона, Симпсона и Серенсена (табл. 3).</w:t>
      </w:r>
    </w:p>
    <w:p w:rsidR="00134A44" w:rsidRDefault="009D0A9A">
      <w:pPr>
        <w:pStyle w:val="a3"/>
      </w:pPr>
      <w:r>
        <w:t>По информационным показателям максимальные значения по индексу Шеннона у Б.Юнги, по индексу Симпсона - у М. Юнги, а по индексу Маргалефа - у Сундыря (табл. 3).</w:t>
      </w:r>
    </w:p>
    <w:p w:rsidR="00134A44" w:rsidRDefault="009D0A9A">
      <w:pPr>
        <w:pStyle w:val="a3"/>
      </w:pPr>
      <w:r>
        <w:t>По информационному индексу сходства Серенсена близкими являются водотоки Сумка - М. Юнга и Сундырь - М. Юнга.</w:t>
      </w:r>
    </w:p>
    <w:p w:rsidR="00134A44" w:rsidRDefault="009D0A9A">
      <w:pPr>
        <w:pStyle w:val="a3"/>
      </w:pPr>
      <w:r>
        <w:t>В целом можно сказать, что ихтиоценозы исследованных рек в определенном смысле богаты - в среднем 13 видов в сообществе против возможных 25. Рассчитанные индексы биологического разнообразия позволяют сделать вывод, что число отмеченных видов рыб велико по всем станциям, а исследуемые биоценозы характеризуются сложной структурой. Общепризнано, что биоразнообразие играет большую роль в поддержании устойчивого состояния в биосфере и отдельных экосистемах. Индекс Шеннона достаточно высок и колеблется от 1,08 до 2,84 (в среднем 2,10), индекс Маргалефа от 1,05 до 3,01 (в среднем 1,88), индекс Симпсона от 0,19 до 0,69 (в среднем 0,39).</w:t>
      </w:r>
    </w:p>
    <w:p w:rsidR="00134A44" w:rsidRDefault="009D0A9A">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240"/>
        <w:gridCol w:w="240"/>
        <w:gridCol w:w="160"/>
      </w:tblGrid>
      <w:tr w:rsidR="00134A44">
        <w:trPr>
          <w:trHeight w:val="510"/>
          <w:tblCellSpacing w:w="0" w:type="dxa"/>
        </w:trPr>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Метод Варда Евклидово расстояние</w:t>
            </w:r>
          </w:p>
        </w:tc>
        <w:tc>
          <w:tcPr>
            <w:tcW w:w="0" w:type="auto"/>
            <w:gridSpan w:val="3"/>
            <w:vAlign w:val="center"/>
            <w:hideMark/>
          </w:tcPr>
          <w:p w:rsidR="00134A44" w:rsidRDefault="009D0A9A">
            <w:r>
              <w:t> </w:t>
            </w:r>
          </w:p>
        </w:tc>
      </w:tr>
      <w:tr w:rsidR="00134A44">
        <w:trPr>
          <w:trHeight w:val="930"/>
          <w:tblCellSpacing w:w="0" w:type="dxa"/>
        </w:trPr>
        <w:tc>
          <w:tcPr>
            <w:tcW w:w="0" w:type="auto"/>
            <w:vAlign w:val="center"/>
            <w:hideMark/>
          </w:tcPr>
          <w:p w:rsidR="00134A44" w:rsidRDefault="009D0A9A">
            <w:r>
              <w:t>Сумка</w:t>
            </w:r>
          </w:p>
        </w:tc>
        <w:tc>
          <w:tcPr>
            <w:tcW w:w="0" w:type="auto"/>
            <w:vAlign w:val="center"/>
            <w:hideMark/>
          </w:tcPr>
          <w:p w:rsidR="00134A44" w:rsidRDefault="009D0A9A">
            <w:r>
              <w:t>1</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gridSpan w:val="2"/>
            <w:vAlign w:val="center"/>
            <w:hideMark/>
          </w:tcPr>
          <w:p w:rsidR="00134A44" w:rsidRDefault="009D0A9A">
            <w:r>
              <w:t> </w:t>
            </w:r>
          </w:p>
        </w:tc>
        <w:tc>
          <w:tcPr>
            <w:tcW w:w="0" w:type="auto"/>
            <w:vAlign w:val="center"/>
            <w:hideMark/>
          </w:tcPr>
          <w:p w:rsidR="00134A44" w:rsidRDefault="009D0A9A">
            <w:r>
              <w:t> </w:t>
            </w:r>
          </w:p>
        </w:tc>
      </w:tr>
      <w:tr w:rsidR="00134A44">
        <w:trPr>
          <w:trHeight w:val="435"/>
          <w:tblCellSpacing w:w="0" w:type="dxa"/>
        </w:trPr>
        <w:tc>
          <w:tcPr>
            <w:tcW w:w="0" w:type="auto"/>
            <w:vAlign w:val="center"/>
            <w:hideMark/>
          </w:tcPr>
          <w:p w:rsidR="00134A44" w:rsidRDefault="009D0A9A">
            <w:r>
              <w:t>Сундырь</w:t>
            </w:r>
          </w:p>
        </w:tc>
        <w:tc>
          <w:tcPr>
            <w:tcW w:w="0" w:type="auto"/>
            <w:vAlign w:val="center"/>
            <w:hideMark/>
          </w:tcPr>
          <w:p w:rsidR="00134A44" w:rsidRDefault="009D0A9A">
            <w:r>
              <w:t>-</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gridSpan w:val="2"/>
            <w:vAlign w:val="center"/>
            <w:hideMark/>
          </w:tcPr>
          <w:p w:rsidR="00134A44" w:rsidRDefault="009D0A9A">
            <w:r>
              <w:t> </w:t>
            </w:r>
          </w:p>
        </w:tc>
        <w:tc>
          <w:tcPr>
            <w:tcW w:w="0" w:type="auto"/>
            <w:vAlign w:val="center"/>
            <w:hideMark/>
          </w:tcPr>
          <w:p w:rsidR="00134A44" w:rsidRDefault="009D0A9A">
            <w:r>
              <w:t> </w:t>
            </w:r>
          </w:p>
        </w:tc>
      </w:tr>
      <w:tr w:rsidR="00134A44">
        <w:trPr>
          <w:trHeight w:val="450"/>
          <w:tblCellSpacing w:w="0" w:type="dxa"/>
        </w:trPr>
        <w:tc>
          <w:tcPr>
            <w:tcW w:w="0" w:type="auto"/>
            <w:vMerge w:val="restart"/>
            <w:vAlign w:val="center"/>
            <w:hideMark/>
          </w:tcPr>
          <w:p w:rsidR="00134A44" w:rsidRDefault="009D0A9A">
            <w:r>
              <w:t>Большая Юнга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r>
      <w:tr w:rsidR="00134A44">
        <w:trPr>
          <w:trHeight w:val="300"/>
          <w:tblCellSpacing w:w="0" w:type="dxa"/>
        </w:trPr>
        <w:tc>
          <w:tcPr>
            <w:tcW w:w="0" w:type="auto"/>
            <w:vMerge/>
            <w:vAlign w:val="center"/>
            <w:hideMark/>
          </w:tcPr>
          <w:p w:rsidR="00134A44" w:rsidRDefault="00134A44"/>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r>
      <w:tr w:rsidR="00134A44">
        <w:trPr>
          <w:trHeight w:val="300"/>
          <w:tblCellSpacing w:w="0" w:type="dxa"/>
        </w:trPr>
        <w:tc>
          <w:tcPr>
            <w:tcW w:w="0" w:type="auto"/>
            <w:vMerge w:val="restart"/>
            <w:vAlign w:val="center"/>
            <w:hideMark/>
          </w:tcPr>
          <w:p w:rsidR="00134A44" w:rsidRDefault="009D0A9A">
            <w:r>
              <w:t>Малая Юнга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r>
      <w:tr w:rsidR="00134A44">
        <w:trPr>
          <w:trHeight w:val="600"/>
          <w:tblCellSpacing w:w="0" w:type="dxa"/>
        </w:trPr>
        <w:tc>
          <w:tcPr>
            <w:tcW w:w="0" w:type="auto"/>
            <w:vMerge/>
            <w:vAlign w:val="center"/>
            <w:hideMark/>
          </w:tcPr>
          <w:p w:rsidR="00134A44" w:rsidRDefault="00134A44"/>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gridSpan w:val="2"/>
            <w:vAlign w:val="center"/>
            <w:hideMark/>
          </w:tcPr>
          <w:p w:rsidR="00134A44" w:rsidRDefault="009D0A9A">
            <w:r>
              <w:t> </w:t>
            </w:r>
          </w:p>
        </w:tc>
        <w:tc>
          <w:tcPr>
            <w:tcW w:w="0" w:type="auto"/>
            <w:vAlign w:val="center"/>
            <w:hideMark/>
          </w:tcPr>
          <w:p w:rsidR="00134A44" w:rsidRDefault="009D0A9A">
            <w:r>
              <w:t> </w:t>
            </w:r>
          </w:p>
        </w:tc>
      </w:tr>
      <w:tr w:rsidR="00134A44">
        <w:trPr>
          <w:trHeight w:val="240"/>
          <w:tblCellSpacing w:w="0" w:type="dxa"/>
        </w:trPr>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10000</w:t>
            </w:r>
          </w:p>
        </w:tc>
        <w:tc>
          <w:tcPr>
            <w:tcW w:w="0" w:type="auto"/>
            <w:vAlign w:val="center"/>
            <w:hideMark/>
          </w:tcPr>
          <w:p w:rsidR="00134A44" w:rsidRDefault="009D0A9A">
            <w:r>
              <w:t>20000 30000 40000</w:t>
            </w:r>
          </w:p>
        </w:tc>
        <w:tc>
          <w:tcPr>
            <w:tcW w:w="0" w:type="auto"/>
            <w:vAlign w:val="center"/>
            <w:hideMark/>
          </w:tcPr>
          <w:p w:rsidR="00134A44" w:rsidRDefault="009D0A9A">
            <w:r>
              <w:t>50000</w:t>
            </w:r>
          </w:p>
        </w:tc>
        <w:tc>
          <w:tcPr>
            <w:tcW w:w="0" w:type="auto"/>
            <w:gridSpan w:val="2"/>
            <w:vAlign w:val="center"/>
            <w:hideMark/>
          </w:tcPr>
          <w:p w:rsidR="00134A44" w:rsidRDefault="009D0A9A">
            <w:r>
              <w:t>60000</w:t>
            </w:r>
          </w:p>
        </w:tc>
      </w:tr>
      <w:tr w:rsidR="00134A44">
        <w:trPr>
          <w:trHeight w:val="270"/>
          <w:tblCellSpacing w:w="0" w:type="dxa"/>
        </w:trPr>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Расстояние объединения</w:t>
            </w:r>
          </w:p>
        </w:tc>
        <w:tc>
          <w:tcPr>
            <w:tcW w:w="0" w:type="auto"/>
            <w:gridSpan w:val="3"/>
            <w:vAlign w:val="center"/>
            <w:hideMark/>
          </w:tcPr>
          <w:p w:rsidR="00134A44" w:rsidRDefault="009D0A9A">
            <w:r>
              <w:t> </w:t>
            </w:r>
          </w:p>
        </w:tc>
      </w:tr>
    </w:tbl>
    <w:p w:rsidR="00134A44" w:rsidRPr="009D0A9A" w:rsidRDefault="009D0A9A">
      <w:pPr>
        <w:pStyle w:val="a3"/>
      </w:pPr>
      <w:r>
        <w:t>Таблица 3</w:t>
      </w:r>
    </w:p>
    <w:p w:rsidR="00134A44" w:rsidRDefault="009D0A9A">
      <w:pPr>
        <w:pStyle w:val="a3"/>
      </w:pPr>
      <w:r>
        <w:t>Структурно-информационные показатели ихтиофауны малых рек Республики Марий Эл - правобережных притоков Чебоксарского водохранилища (численность - экз./га, ихтиомасса - кг/га)</w:t>
      </w:r>
    </w:p>
    <w:p w:rsidR="00134A44" w:rsidRDefault="009D0A9A">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120"/>
        <w:gridCol w:w="120"/>
        <w:gridCol w:w="120"/>
        <w:gridCol w:w="120"/>
        <w:gridCol w:w="480"/>
      </w:tblGrid>
      <w:tr w:rsidR="00134A44">
        <w:trPr>
          <w:trHeight w:val="555"/>
          <w:tblCellSpacing w:w="0" w:type="dxa"/>
        </w:trPr>
        <w:tc>
          <w:tcPr>
            <w:tcW w:w="0" w:type="auto"/>
            <w:vMerge w:val="restart"/>
            <w:vAlign w:val="center"/>
            <w:hideMark/>
          </w:tcPr>
          <w:p w:rsidR="00134A44" w:rsidRDefault="009D0A9A">
            <w:r>
              <w:t>Реки</w:t>
            </w:r>
          </w:p>
        </w:tc>
        <w:tc>
          <w:tcPr>
            <w:tcW w:w="0" w:type="auto"/>
            <w:vMerge w:val="restart"/>
            <w:vAlign w:val="center"/>
            <w:hideMark/>
          </w:tcPr>
          <w:p w:rsidR="00134A44" w:rsidRDefault="009D0A9A">
            <w:r>
              <w:t>Показатели</w:t>
            </w:r>
          </w:p>
        </w:tc>
        <w:tc>
          <w:tcPr>
            <w:tcW w:w="0" w:type="auto"/>
            <w:gridSpan w:val="4"/>
            <w:vAlign w:val="center"/>
            <w:hideMark/>
          </w:tcPr>
          <w:p w:rsidR="00134A44" w:rsidRDefault="009D0A9A">
            <w:r>
              <w:t>Участок реки</w:t>
            </w:r>
          </w:p>
        </w:tc>
        <w:tc>
          <w:tcPr>
            <w:tcW w:w="0" w:type="auto"/>
            <w:vMerge w:val="restart"/>
            <w:vAlign w:val="center"/>
            <w:hideMark/>
          </w:tcPr>
          <w:p w:rsidR="00134A44" w:rsidRDefault="009D0A9A">
            <w:r>
              <w:t>В среднем по реке</w:t>
            </w:r>
          </w:p>
        </w:tc>
      </w:tr>
      <w:tr w:rsidR="00134A44">
        <w:trPr>
          <w:trHeight w:val="210"/>
          <w:tblCellSpacing w:w="0" w:type="dxa"/>
        </w:trPr>
        <w:tc>
          <w:tcPr>
            <w:tcW w:w="0" w:type="auto"/>
            <w:vMerge/>
            <w:vAlign w:val="center"/>
            <w:hideMark/>
          </w:tcPr>
          <w:p w:rsidR="00134A44" w:rsidRDefault="00134A44"/>
        </w:tc>
        <w:tc>
          <w:tcPr>
            <w:tcW w:w="0" w:type="auto"/>
            <w:vMerge/>
            <w:vAlign w:val="center"/>
            <w:hideMark/>
          </w:tcPr>
          <w:p w:rsidR="00134A44" w:rsidRDefault="00134A44"/>
        </w:tc>
        <w:tc>
          <w:tcPr>
            <w:tcW w:w="0" w:type="auto"/>
            <w:vAlign w:val="center"/>
            <w:hideMark/>
          </w:tcPr>
          <w:p w:rsidR="00134A44" w:rsidRDefault="009D0A9A">
            <w:r>
              <w:t>верхний</w:t>
            </w:r>
          </w:p>
        </w:tc>
        <w:tc>
          <w:tcPr>
            <w:tcW w:w="0" w:type="auto"/>
            <w:vAlign w:val="center"/>
            <w:hideMark/>
          </w:tcPr>
          <w:p w:rsidR="00134A44" w:rsidRDefault="009D0A9A">
            <w:r>
              <w:t>средний</w:t>
            </w:r>
          </w:p>
        </w:tc>
        <w:tc>
          <w:tcPr>
            <w:tcW w:w="0" w:type="auto"/>
            <w:vAlign w:val="center"/>
            <w:hideMark/>
          </w:tcPr>
          <w:p w:rsidR="00134A44" w:rsidRDefault="009D0A9A">
            <w:r>
              <w:t>нижний</w:t>
            </w:r>
          </w:p>
        </w:tc>
        <w:tc>
          <w:tcPr>
            <w:tcW w:w="0" w:type="auto"/>
            <w:vAlign w:val="center"/>
            <w:hideMark/>
          </w:tcPr>
          <w:p w:rsidR="00134A44" w:rsidRDefault="009D0A9A">
            <w:r>
              <w:t>устье</w:t>
            </w:r>
          </w:p>
        </w:tc>
        <w:tc>
          <w:tcPr>
            <w:tcW w:w="0" w:type="auto"/>
            <w:vMerge/>
            <w:vAlign w:val="center"/>
            <w:hideMark/>
          </w:tcPr>
          <w:p w:rsidR="00134A44" w:rsidRDefault="00134A44"/>
        </w:tc>
      </w:tr>
      <w:tr w:rsidR="00134A44">
        <w:trPr>
          <w:trHeight w:val="210"/>
          <w:tblCellSpacing w:w="0" w:type="dxa"/>
        </w:trPr>
        <w:tc>
          <w:tcPr>
            <w:tcW w:w="0" w:type="auto"/>
            <w:vMerge w:val="restart"/>
            <w:vAlign w:val="center"/>
            <w:hideMark/>
          </w:tcPr>
          <w:p w:rsidR="00134A44" w:rsidRDefault="009D0A9A">
            <w:r>
              <w:t>Сумка</w:t>
            </w:r>
          </w:p>
        </w:tc>
        <w:tc>
          <w:tcPr>
            <w:tcW w:w="0" w:type="auto"/>
            <w:vAlign w:val="center"/>
            <w:hideMark/>
          </w:tcPr>
          <w:p w:rsidR="00134A44" w:rsidRDefault="009D0A9A">
            <w:r>
              <w:t>численность</w:t>
            </w:r>
          </w:p>
        </w:tc>
        <w:tc>
          <w:tcPr>
            <w:tcW w:w="0" w:type="auto"/>
            <w:vAlign w:val="center"/>
            <w:hideMark/>
          </w:tcPr>
          <w:p w:rsidR="00134A44" w:rsidRDefault="009D0A9A">
            <w:r>
              <w:t> </w:t>
            </w:r>
          </w:p>
        </w:tc>
        <w:tc>
          <w:tcPr>
            <w:tcW w:w="0" w:type="auto"/>
            <w:vAlign w:val="center"/>
            <w:hideMark/>
          </w:tcPr>
          <w:p w:rsidR="00134A44" w:rsidRDefault="009D0A9A">
            <w:r>
              <w:t>1300</w:t>
            </w:r>
          </w:p>
        </w:tc>
        <w:tc>
          <w:tcPr>
            <w:tcW w:w="0" w:type="auto"/>
            <w:vAlign w:val="center"/>
            <w:hideMark/>
          </w:tcPr>
          <w:p w:rsidR="00134A44" w:rsidRDefault="009D0A9A">
            <w:r>
              <w:t>333</w:t>
            </w:r>
          </w:p>
        </w:tc>
        <w:tc>
          <w:tcPr>
            <w:tcW w:w="0" w:type="auto"/>
            <w:vAlign w:val="center"/>
            <w:hideMark/>
          </w:tcPr>
          <w:p w:rsidR="00134A44" w:rsidRDefault="009D0A9A">
            <w:r>
              <w:t>8813</w:t>
            </w:r>
          </w:p>
        </w:tc>
        <w:tc>
          <w:tcPr>
            <w:tcW w:w="0" w:type="auto"/>
            <w:vAlign w:val="center"/>
            <w:hideMark/>
          </w:tcPr>
          <w:p w:rsidR="00134A44" w:rsidRDefault="009D0A9A">
            <w:r>
              <w:t>3482</w:t>
            </w:r>
          </w:p>
        </w:tc>
      </w:tr>
      <w:tr w:rsidR="00134A44">
        <w:trPr>
          <w:trHeight w:val="210"/>
          <w:tblCellSpacing w:w="0" w:type="dxa"/>
        </w:trPr>
        <w:tc>
          <w:tcPr>
            <w:tcW w:w="0" w:type="auto"/>
            <w:vMerge/>
            <w:vAlign w:val="center"/>
            <w:hideMark/>
          </w:tcPr>
          <w:p w:rsidR="00134A44" w:rsidRDefault="00134A44"/>
        </w:tc>
        <w:tc>
          <w:tcPr>
            <w:tcW w:w="0" w:type="auto"/>
            <w:vAlign w:val="center"/>
            <w:hideMark/>
          </w:tcPr>
          <w:p w:rsidR="00134A44" w:rsidRDefault="009D0A9A">
            <w:r>
              <w:t>ихтиомасса</w:t>
            </w:r>
          </w:p>
        </w:tc>
        <w:tc>
          <w:tcPr>
            <w:tcW w:w="0" w:type="auto"/>
            <w:vAlign w:val="center"/>
            <w:hideMark/>
          </w:tcPr>
          <w:p w:rsidR="00134A44" w:rsidRDefault="009D0A9A">
            <w:r>
              <w:t> </w:t>
            </w:r>
          </w:p>
        </w:tc>
        <w:tc>
          <w:tcPr>
            <w:tcW w:w="0" w:type="auto"/>
            <w:vAlign w:val="center"/>
            <w:hideMark/>
          </w:tcPr>
          <w:p w:rsidR="00134A44" w:rsidRDefault="009D0A9A">
            <w:r>
              <w:t>10,9</w:t>
            </w:r>
          </w:p>
        </w:tc>
        <w:tc>
          <w:tcPr>
            <w:tcW w:w="0" w:type="auto"/>
            <w:vAlign w:val="center"/>
            <w:hideMark/>
          </w:tcPr>
          <w:p w:rsidR="00134A44" w:rsidRDefault="009D0A9A">
            <w:r>
              <w:t>2,8</w:t>
            </w:r>
          </w:p>
        </w:tc>
        <w:tc>
          <w:tcPr>
            <w:tcW w:w="0" w:type="auto"/>
            <w:vAlign w:val="center"/>
            <w:hideMark/>
          </w:tcPr>
          <w:p w:rsidR="00134A44" w:rsidRDefault="009D0A9A">
            <w:r>
              <w:t>230,1</w:t>
            </w:r>
          </w:p>
        </w:tc>
        <w:tc>
          <w:tcPr>
            <w:tcW w:w="0" w:type="auto"/>
            <w:vAlign w:val="center"/>
            <w:hideMark/>
          </w:tcPr>
          <w:p w:rsidR="00134A44" w:rsidRDefault="009D0A9A">
            <w:r>
              <w:t>81,3</w:t>
            </w:r>
          </w:p>
        </w:tc>
      </w:tr>
      <w:tr w:rsidR="00134A44">
        <w:trPr>
          <w:trHeight w:val="210"/>
          <w:tblCellSpacing w:w="0" w:type="dxa"/>
        </w:trPr>
        <w:tc>
          <w:tcPr>
            <w:tcW w:w="0" w:type="auto"/>
            <w:vMerge/>
            <w:vAlign w:val="center"/>
            <w:hideMark/>
          </w:tcPr>
          <w:p w:rsidR="00134A44" w:rsidRDefault="00134A44"/>
        </w:tc>
        <w:tc>
          <w:tcPr>
            <w:tcW w:w="0" w:type="auto"/>
            <w:vAlign w:val="center"/>
            <w:hideMark/>
          </w:tcPr>
          <w:p w:rsidR="00134A44" w:rsidRDefault="009D0A9A">
            <w:r>
              <w:t>количество видов</w:t>
            </w:r>
          </w:p>
        </w:tc>
        <w:tc>
          <w:tcPr>
            <w:tcW w:w="0" w:type="auto"/>
            <w:vAlign w:val="center"/>
            <w:hideMark/>
          </w:tcPr>
          <w:p w:rsidR="00134A44" w:rsidRDefault="009D0A9A">
            <w:r>
              <w:t> </w:t>
            </w:r>
          </w:p>
        </w:tc>
        <w:tc>
          <w:tcPr>
            <w:tcW w:w="0" w:type="auto"/>
            <w:vAlign w:val="center"/>
            <w:hideMark/>
          </w:tcPr>
          <w:p w:rsidR="00134A44" w:rsidRDefault="009D0A9A">
            <w:r>
              <w:t>6</w:t>
            </w:r>
          </w:p>
        </w:tc>
        <w:tc>
          <w:tcPr>
            <w:tcW w:w="0" w:type="auto"/>
            <w:vAlign w:val="center"/>
            <w:hideMark/>
          </w:tcPr>
          <w:p w:rsidR="00134A44" w:rsidRDefault="009D0A9A">
            <w:r>
              <w:t>3</w:t>
            </w:r>
          </w:p>
        </w:tc>
        <w:tc>
          <w:tcPr>
            <w:tcW w:w="0" w:type="auto"/>
            <w:vAlign w:val="center"/>
            <w:hideMark/>
          </w:tcPr>
          <w:p w:rsidR="00134A44" w:rsidRDefault="009D0A9A">
            <w:r>
              <w:t>5</w:t>
            </w:r>
          </w:p>
        </w:tc>
        <w:tc>
          <w:tcPr>
            <w:tcW w:w="0" w:type="auto"/>
            <w:vAlign w:val="center"/>
            <w:hideMark/>
          </w:tcPr>
          <w:p w:rsidR="00134A44" w:rsidRDefault="009D0A9A">
            <w:r>
              <w:t>11*</w:t>
            </w:r>
          </w:p>
        </w:tc>
      </w:tr>
      <w:tr w:rsidR="00134A44">
        <w:trPr>
          <w:trHeight w:val="210"/>
          <w:tblCellSpacing w:w="0" w:type="dxa"/>
        </w:trPr>
        <w:tc>
          <w:tcPr>
            <w:tcW w:w="0" w:type="auto"/>
            <w:vMerge/>
            <w:vAlign w:val="center"/>
            <w:hideMark/>
          </w:tcPr>
          <w:p w:rsidR="00134A44" w:rsidRDefault="00134A44"/>
        </w:tc>
        <w:tc>
          <w:tcPr>
            <w:tcW w:w="0" w:type="auto"/>
            <w:vAlign w:val="center"/>
            <w:hideMark/>
          </w:tcPr>
          <w:p w:rsidR="00134A44" w:rsidRDefault="009D0A9A">
            <w:r>
              <w:t>Индекс Шеннона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1,99</w:t>
            </w:r>
          </w:p>
        </w:tc>
      </w:tr>
      <w:tr w:rsidR="00134A44">
        <w:trPr>
          <w:trHeight w:val="210"/>
          <w:tblCellSpacing w:w="0" w:type="dxa"/>
        </w:trPr>
        <w:tc>
          <w:tcPr>
            <w:tcW w:w="0" w:type="auto"/>
            <w:vMerge/>
            <w:vAlign w:val="center"/>
            <w:hideMark/>
          </w:tcPr>
          <w:p w:rsidR="00134A44" w:rsidRDefault="00134A44"/>
        </w:tc>
        <w:tc>
          <w:tcPr>
            <w:tcW w:w="0" w:type="auto"/>
            <w:vAlign w:val="center"/>
            <w:hideMark/>
          </w:tcPr>
          <w:p w:rsidR="00134A44" w:rsidRDefault="009D0A9A">
            <w:r>
              <w:t>Индекс Маргалефа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1,51</w:t>
            </w:r>
          </w:p>
        </w:tc>
      </w:tr>
      <w:tr w:rsidR="00134A44">
        <w:trPr>
          <w:trHeight w:val="210"/>
          <w:tblCellSpacing w:w="0" w:type="dxa"/>
        </w:trPr>
        <w:tc>
          <w:tcPr>
            <w:tcW w:w="0" w:type="auto"/>
            <w:vMerge/>
            <w:vAlign w:val="center"/>
            <w:hideMark/>
          </w:tcPr>
          <w:p w:rsidR="00134A44" w:rsidRDefault="00134A44"/>
        </w:tc>
        <w:tc>
          <w:tcPr>
            <w:tcW w:w="0" w:type="auto"/>
            <w:vAlign w:val="center"/>
            <w:hideMark/>
          </w:tcPr>
          <w:p w:rsidR="00134A44" w:rsidRDefault="009D0A9A">
            <w:r>
              <w:t>Индекс Симпсона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0,34</w:t>
            </w:r>
          </w:p>
        </w:tc>
      </w:tr>
      <w:tr w:rsidR="00134A44">
        <w:trPr>
          <w:trHeight w:val="210"/>
          <w:tblCellSpacing w:w="0" w:type="dxa"/>
        </w:trPr>
        <w:tc>
          <w:tcPr>
            <w:tcW w:w="0" w:type="auto"/>
            <w:vMerge w:val="restart"/>
            <w:vAlign w:val="center"/>
            <w:hideMark/>
          </w:tcPr>
          <w:p w:rsidR="00134A44" w:rsidRPr="009D0A9A" w:rsidRDefault="009D0A9A">
            <w:pPr>
              <w:pStyle w:val="a3"/>
            </w:pPr>
            <w:r w:rsidRPr="009D0A9A">
              <w:t>Большая</w:t>
            </w:r>
          </w:p>
          <w:p w:rsidR="00134A44" w:rsidRPr="009D0A9A" w:rsidRDefault="009D0A9A">
            <w:pPr>
              <w:pStyle w:val="a3"/>
            </w:pPr>
            <w:r w:rsidRPr="009D0A9A">
              <w:t>Юнга</w:t>
            </w:r>
          </w:p>
        </w:tc>
        <w:tc>
          <w:tcPr>
            <w:tcW w:w="0" w:type="auto"/>
            <w:vAlign w:val="center"/>
            <w:hideMark/>
          </w:tcPr>
          <w:p w:rsidR="00134A44" w:rsidRDefault="009D0A9A">
            <w:r>
              <w:t>численность</w:t>
            </w:r>
          </w:p>
        </w:tc>
        <w:tc>
          <w:tcPr>
            <w:tcW w:w="0" w:type="auto"/>
            <w:vAlign w:val="center"/>
            <w:hideMark/>
          </w:tcPr>
          <w:p w:rsidR="00134A44" w:rsidRDefault="009D0A9A">
            <w:r>
              <w:t>2260</w:t>
            </w:r>
          </w:p>
        </w:tc>
        <w:tc>
          <w:tcPr>
            <w:tcW w:w="0" w:type="auto"/>
            <w:vAlign w:val="center"/>
            <w:hideMark/>
          </w:tcPr>
          <w:p w:rsidR="00134A44" w:rsidRDefault="009D0A9A">
            <w:r>
              <w:t>7734</w:t>
            </w:r>
          </w:p>
        </w:tc>
        <w:tc>
          <w:tcPr>
            <w:tcW w:w="0" w:type="auto"/>
            <w:vAlign w:val="center"/>
            <w:hideMark/>
          </w:tcPr>
          <w:p w:rsidR="00134A44" w:rsidRDefault="009D0A9A">
            <w:r>
              <w:t>4878</w:t>
            </w:r>
          </w:p>
        </w:tc>
        <w:tc>
          <w:tcPr>
            <w:tcW w:w="0" w:type="auto"/>
            <w:vAlign w:val="center"/>
            <w:hideMark/>
          </w:tcPr>
          <w:p w:rsidR="00134A44" w:rsidRDefault="009D0A9A">
            <w:r>
              <w:t>900</w:t>
            </w:r>
          </w:p>
        </w:tc>
        <w:tc>
          <w:tcPr>
            <w:tcW w:w="0" w:type="auto"/>
            <w:vAlign w:val="center"/>
            <w:hideMark/>
          </w:tcPr>
          <w:p w:rsidR="00134A44" w:rsidRDefault="009D0A9A">
            <w:r>
              <w:t>3943</w:t>
            </w:r>
          </w:p>
        </w:tc>
      </w:tr>
      <w:tr w:rsidR="00134A44">
        <w:trPr>
          <w:trHeight w:val="210"/>
          <w:tblCellSpacing w:w="0" w:type="dxa"/>
        </w:trPr>
        <w:tc>
          <w:tcPr>
            <w:tcW w:w="0" w:type="auto"/>
            <w:vMerge/>
            <w:vAlign w:val="center"/>
            <w:hideMark/>
          </w:tcPr>
          <w:p w:rsidR="00134A44" w:rsidRPr="009D0A9A" w:rsidRDefault="00134A44"/>
        </w:tc>
        <w:tc>
          <w:tcPr>
            <w:tcW w:w="0" w:type="auto"/>
            <w:vAlign w:val="center"/>
            <w:hideMark/>
          </w:tcPr>
          <w:p w:rsidR="00134A44" w:rsidRDefault="009D0A9A">
            <w:r>
              <w:t>ихтиомасса</w:t>
            </w:r>
          </w:p>
        </w:tc>
        <w:tc>
          <w:tcPr>
            <w:tcW w:w="0" w:type="auto"/>
            <w:vAlign w:val="center"/>
            <w:hideMark/>
          </w:tcPr>
          <w:p w:rsidR="00134A44" w:rsidRDefault="009D0A9A">
            <w:r>
              <w:t>13,8</w:t>
            </w:r>
          </w:p>
        </w:tc>
        <w:tc>
          <w:tcPr>
            <w:tcW w:w="0" w:type="auto"/>
            <w:vAlign w:val="center"/>
            <w:hideMark/>
          </w:tcPr>
          <w:p w:rsidR="00134A44" w:rsidRDefault="009D0A9A">
            <w:r>
              <w:t>43,3</w:t>
            </w:r>
          </w:p>
        </w:tc>
        <w:tc>
          <w:tcPr>
            <w:tcW w:w="0" w:type="auto"/>
            <w:vAlign w:val="center"/>
            <w:hideMark/>
          </w:tcPr>
          <w:p w:rsidR="00134A44" w:rsidRDefault="009D0A9A">
            <w:r>
              <w:t>17,3</w:t>
            </w:r>
          </w:p>
        </w:tc>
        <w:tc>
          <w:tcPr>
            <w:tcW w:w="0" w:type="auto"/>
            <w:vAlign w:val="center"/>
            <w:hideMark/>
          </w:tcPr>
          <w:p w:rsidR="00134A44" w:rsidRDefault="009D0A9A">
            <w:r>
              <w:t>33,4</w:t>
            </w:r>
          </w:p>
        </w:tc>
        <w:tc>
          <w:tcPr>
            <w:tcW w:w="0" w:type="auto"/>
            <w:vAlign w:val="center"/>
            <w:hideMark/>
          </w:tcPr>
          <w:p w:rsidR="00134A44" w:rsidRDefault="009D0A9A">
            <w:r>
              <w:t>26,9</w:t>
            </w:r>
          </w:p>
        </w:tc>
      </w:tr>
      <w:tr w:rsidR="00134A44">
        <w:trPr>
          <w:trHeight w:val="210"/>
          <w:tblCellSpacing w:w="0" w:type="dxa"/>
        </w:trPr>
        <w:tc>
          <w:tcPr>
            <w:tcW w:w="0" w:type="auto"/>
            <w:vMerge/>
            <w:vAlign w:val="center"/>
            <w:hideMark/>
          </w:tcPr>
          <w:p w:rsidR="00134A44" w:rsidRPr="009D0A9A" w:rsidRDefault="00134A44"/>
        </w:tc>
        <w:tc>
          <w:tcPr>
            <w:tcW w:w="0" w:type="auto"/>
            <w:vAlign w:val="center"/>
            <w:hideMark/>
          </w:tcPr>
          <w:p w:rsidR="00134A44" w:rsidRDefault="009D0A9A">
            <w:r>
              <w:t>количество видов</w:t>
            </w:r>
          </w:p>
        </w:tc>
        <w:tc>
          <w:tcPr>
            <w:tcW w:w="0" w:type="auto"/>
            <w:vAlign w:val="center"/>
            <w:hideMark/>
          </w:tcPr>
          <w:p w:rsidR="00134A44" w:rsidRDefault="009D0A9A">
            <w:r>
              <w:t>6</w:t>
            </w:r>
          </w:p>
        </w:tc>
        <w:tc>
          <w:tcPr>
            <w:tcW w:w="0" w:type="auto"/>
            <w:vAlign w:val="center"/>
            <w:hideMark/>
          </w:tcPr>
          <w:p w:rsidR="00134A44" w:rsidRDefault="009D0A9A">
            <w:r>
              <w:t>11</w:t>
            </w:r>
          </w:p>
        </w:tc>
        <w:tc>
          <w:tcPr>
            <w:tcW w:w="0" w:type="auto"/>
            <w:vAlign w:val="center"/>
            <w:hideMark/>
          </w:tcPr>
          <w:p w:rsidR="00134A44" w:rsidRDefault="009D0A9A">
            <w:r>
              <w:t>12</w:t>
            </w:r>
          </w:p>
        </w:tc>
        <w:tc>
          <w:tcPr>
            <w:tcW w:w="0" w:type="auto"/>
            <w:vAlign w:val="center"/>
            <w:hideMark/>
          </w:tcPr>
          <w:p w:rsidR="00134A44" w:rsidRDefault="009D0A9A">
            <w:r>
              <w:t>6</w:t>
            </w:r>
          </w:p>
        </w:tc>
        <w:tc>
          <w:tcPr>
            <w:tcW w:w="0" w:type="auto"/>
            <w:vAlign w:val="center"/>
            <w:hideMark/>
          </w:tcPr>
          <w:p w:rsidR="00134A44" w:rsidRDefault="009D0A9A">
            <w:r>
              <w:t>14*</w:t>
            </w:r>
          </w:p>
        </w:tc>
      </w:tr>
      <w:tr w:rsidR="00134A44">
        <w:trPr>
          <w:trHeight w:val="210"/>
          <w:tblCellSpacing w:w="0" w:type="dxa"/>
        </w:trPr>
        <w:tc>
          <w:tcPr>
            <w:tcW w:w="0" w:type="auto"/>
            <w:vMerge/>
            <w:vAlign w:val="center"/>
            <w:hideMark/>
          </w:tcPr>
          <w:p w:rsidR="00134A44" w:rsidRPr="009D0A9A" w:rsidRDefault="00134A44"/>
        </w:tc>
        <w:tc>
          <w:tcPr>
            <w:tcW w:w="0" w:type="auto"/>
            <w:vAlign w:val="center"/>
            <w:hideMark/>
          </w:tcPr>
          <w:p w:rsidR="00134A44" w:rsidRDefault="009D0A9A">
            <w:r>
              <w:t>Индекс Шеннона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2,84</w:t>
            </w:r>
          </w:p>
        </w:tc>
      </w:tr>
      <w:tr w:rsidR="00134A44">
        <w:trPr>
          <w:trHeight w:val="210"/>
          <w:tblCellSpacing w:w="0" w:type="dxa"/>
        </w:trPr>
        <w:tc>
          <w:tcPr>
            <w:tcW w:w="0" w:type="auto"/>
            <w:vMerge/>
            <w:vAlign w:val="center"/>
            <w:hideMark/>
          </w:tcPr>
          <w:p w:rsidR="00134A44" w:rsidRPr="009D0A9A" w:rsidRDefault="00134A44"/>
        </w:tc>
        <w:tc>
          <w:tcPr>
            <w:tcW w:w="0" w:type="auto"/>
            <w:vAlign w:val="center"/>
            <w:hideMark/>
          </w:tcPr>
          <w:p w:rsidR="00134A44" w:rsidRDefault="009D0A9A">
            <w:r>
              <w:t>Индекс Маргалефа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1,96</w:t>
            </w:r>
          </w:p>
        </w:tc>
      </w:tr>
      <w:tr w:rsidR="00134A44">
        <w:trPr>
          <w:trHeight w:val="210"/>
          <w:tblCellSpacing w:w="0" w:type="dxa"/>
        </w:trPr>
        <w:tc>
          <w:tcPr>
            <w:tcW w:w="0" w:type="auto"/>
            <w:vMerge/>
            <w:vAlign w:val="center"/>
            <w:hideMark/>
          </w:tcPr>
          <w:p w:rsidR="00134A44" w:rsidRPr="009D0A9A" w:rsidRDefault="00134A44"/>
        </w:tc>
        <w:tc>
          <w:tcPr>
            <w:tcW w:w="0" w:type="auto"/>
            <w:vAlign w:val="center"/>
            <w:hideMark/>
          </w:tcPr>
          <w:p w:rsidR="00134A44" w:rsidRDefault="009D0A9A">
            <w:r>
              <w:t>Индекс Симпсона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0,19</w:t>
            </w:r>
          </w:p>
        </w:tc>
      </w:tr>
      <w:tr w:rsidR="00134A44">
        <w:trPr>
          <w:trHeight w:val="210"/>
          <w:tblCellSpacing w:w="0" w:type="dxa"/>
        </w:trPr>
        <w:tc>
          <w:tcPr>
            <w:tcW w:w="0" w:type="auto"/>
            <w:vMerge w:val="restart"/>
            <w:vAlign w:val="center"/>
            <w:hideMark/>
          </w:tcPr>
          <w:p w:rsidR="00134A44" w:rsidRPr="009D0A9A" w:rsidRDefault="009D0A9A">
            <w:pPr>
              <w:pStyle w:val="a3"/>
            </w:pPr>
            <w:r w:rsidRPr="009D0A9A">
              <w:t>Малая</w:t>
            </w:r>
          </w:p>
          <w:p w:rsidR="00134A44" w:rsidRPr="009D0A9A" w:rsidRDefault="009D0A9A">
            <w:pPr>
              <w:pStyle w:val="a3"/>
            </w:pPr>
            <w:r w:rsidRPr="009D0A9A">
              <w:t>Юнга</w:t>
            </w:r>
          </w:p>
        </w:tc>
        <w:tc>
          <w:tcPr>
            <w:tcW w:w="0" w:type="auto"/>
            <w:vAlign w:val="center"/>
            <w:hideMark/>
          </w:tcPr>
          <w:p w:rsidR="00134A44" w:rsidRDefault="009D0A9A">
            <w:r>
              <w:t>численность</w:t>
            </w:r>
          </w:p>
        </w:tc>
        <w:tc>
          <w:tcPr>
            <w:tcW w:w="0" w:type="auto"/>
            <w:vAlign w:val="center"/>
            <w:hideMark/>
          </w:tcPr>
          <w:p w:rsidR="00134A44" w:rsidRDefault="009D0A9A">
            <w:r>
              <w:t> </w:t>
            </w:r>
          </w:p>
        </w:tc>
        <w:tc>
          <w:tcPr>
            <w:tcW w:w="0" w:type="auto"/>
            <w:vAlign w:val="center"/>
            <w:hideMark/>
          </w:tcPr>
          <w:p w:rsidR="00134A44" w:rsidRDefault="009D0A9A">
            <w:r>
              <w:t>81250</w:t>
            </w:r>
          </w:p>
        </w:tc>
        <w:tc>
          <w:tcPr>
            <w:tcW w:w="0" w:type="auto"/>
            <w:vAlign w:val="center"/>
            <w:hideMark/>
          </w:tcPr>
          <w:p w:rsidR="00134A44" w:rsidRDefault="009D0A9A">
            <w:r>
              <w:t>3056</w:t>
            </w:r>
          </w:p>
        </w:tc>
        <w:tc>
          <w:tcPr>
            <w:tcW w:w="0" w:type="auto"/>
            <w:vAlign w:val="center"/>
            <w:hideMark/>
          </w:tcPr>
          <w:p w:rsidR="00134A44" w:rsidRDefault="009D0A9A">
            <w:r>
              <w:t> </w:t>
            </w:r>
          </w:p>
        </w:tc>
        <w:tc>
          <w:tcPr>
            <w:tcW w:w="0" w:type="auto"/>
            <w:vAlign w:val="center"/>
            <w:hideMark/>
          </w:tcPr>
          <w:p w:rsidR="00134A44" w:rsidRDefault="009D0A9A">
            <w:r>
              <w:t>42153</w:t>
            </w:r>
          </w:p>
        </w:tc>
      </w:tr>
      <w:tr w:rsidR="00134A44">
        <w:trPr>
          <w:trHeight w:val="210"/>
          <w:tblCellSpacing w:w="0" w:type="dxa"/>
        </w:trPr>
        <w:tc>
          <w:tcPr>
            <w:tcW w:w="0" w:type="auto"/>
            <w:vMerge/>
            <w:vAlign w:val="center"/>
            <w:hideMark/>
          </w:tcPr>
          <w:p w:rsidR="00134A44" w:rsidRPr="009D0A9A" w:rsidRDefault="00134A44"/>
        </w:tc>
        <w:tc>
          <w:tcPr>
            <w:tcW w:w="0" w:type="auto"/>
            <w:vAlign w:val="center"/>
            <w:hideMark/>
          </w:tcPr>
          <w:p w:rsidR="00134A44" w:rsidRDefault="009D0A9A">
            <w:r>
              <w:t>ихтиомасса</w:t>
            </w:r>
          </w:p>
        </w:tc>
        <w:tc>
          <w:tcPr>
            <w:tcW w:w="0" w:type="auto"/>
            <w:vAlign w:val="center"/>
            <w:hideMark/>
          </w:tcPr>
          <w:p w:rsidR="00134A44" w:rsidRDefault="009D0A9A">
            <w:r>
              <w:t> </w:t>
            </w:r>
          </w:p>
        </w:tc>
        <w:tc>
          <w:tcPr>
            <w:tcW w:w="0" w:type="auto"/>
            <w:vAlign w:val="center"/>
            <w:hideMark/>
          </w:tcPr>
          <w:p w:rsidR="00134A44" w:rsidRDefault="009D0A9A">
            <w:r>
              <w:t>77,5</w:t>
            </w:r>
          </w:p>
        </w:tc>
        <w:tc>
          <w:tcPr>
            <w:tcW w:w="0" w:type="auto"/>
            <w:vAlign w:val="center"/>
            <w:hideMark/>
          </w:tcPr>
          <w:p w:rsidR="00134A44" w:rsidRDefault="009D0A9A">
            <w:r>
              <w:t>19,6</w:t>
            </w:r>
          </w:p>
        </w:tc>
        <w:tc>
          <w:tcPr>
            <w:tcW w:w="0" w:type="auto"/>
            <w:vAlign w:val="center"/>
            <w:hideMark/>
          </w:tcPr>
          <w:p w:rsidR="00134A44" w:rsidRDefault="009D0A9A">
            <w:r>
              <w:t> </w:t>
            </w:r>
          </w:p>
        </w:tc>
        <w:tc>
          <w:tcPr>
            <w:tcW w:w="0" w:type="auto"/>
            <w:vAlign w:val="center"/>
            <w:hideMark/>
          </w:tcPr>
          <w:p w:rsidR="00134A44" w:rsidRDefault="009D0A9A">
            <w:r>
              <w:t>48,6</w:t>
            </w:r>
          </w:p>
        </w:tc>
      </w:tr>
      <w:tr w:rsidR="00134A44">
        <w:trPr>
          <w:trHeight w:val="210"/>
          <w:tblCellSpacing w:w="0" w:type="dxa"/>
        </w:trPr>
        <w:tc>
          <w:tcPr>
            <w:tcW w:w="0" w:type="auto"/>
            <w:vMerge/>
            <w:vAlign w:val="center"/>
            <w:hideMark/>
          </w:tcPr>
          <w:p w:rsidR="00134A44" w:rsidRPr="009D0A9A" w:rsidRDefault="00134A44"/>
        </w:tc>
        <w:tc>
          <w:tcPr>
            <w:tcW w:w="0" w:type="auto"/>
            <w:vAlign w:val="center"/>
            <w:hideMark/>
          </w:tcPr>
          <w:p w:rsidR="00134A44" w:rsidRDefault="009D0A9A">
            <w:r>
              <w:t>количество видов</w:t>
            </w:r>
          </w:p>
        </w:tc>
        <w:tc>
          <w:tcPr>
            <w:tcW w:w="0" w:type="auto"/>
            <w:vAlign w:val="center"/>
            <w:hideMark/>
          </w:tcPr>
          <w:p w:rsidR="00134A44" w:rsidRDefault="009D0A9A">
            <w:r>
              <w:t> </w:t>
            </w:r>
          </w:p>
        </w:tc>
        <w:tc>
          <w:tcPr>
            <w:tcW w:w="0" w:type="auto"/>
            <w:vAlign w:val="center"/>
            <w:hideMark/>
          </w:tcPr>
          <w:p w:rsidR="00134A44" w:rsidRDefault="009D0A9A">
            <w:r>
              <w:t>3</w:t>
            </w:r>
          </w:p>
        </w:tc>
        <w:tc>
          <w:tcPr>
            <w:tcW w:w="0" w:type="auto"/>
            <w:vAlign w:val="center"/>
            <w:hideMark/>
          </w:tcPr>
          <w:p w:rsidR="00134A44" w:rsidRDefault="009D0A9A">
            <w:r>
              <w:t>6</w:t>
            </w:r>
          </w:p>
        </w:tc>
        <w:tc>
          <w:tcPr>
            <w:tcW w:w="0" w:type="auto"/>
            <w:vAlign w:val="center"/>
            <w:hideMark/>
          </w:tcPr>
          <w:p w:rsidR="00134A44" w:rsidRDefault="009D0A9A">
            <w:r>
              <w:t> </w:t>
            </w:r>
          </w:p>
        </w:tc>
        <w:tc>
          <w:tcPr>
            <w:tcW w:w="0" w:type="auto"/>
            <w:vAlign w:val="center"/>
            <w:hideMark/>
          </w:tcPr>
          <w:p w:rsidR="00134A44" w:rsidRDefault="009D0A9A">
            <w:r>
              <w:t>8*</w:t>
            </w:r>
          </w:p>
        </w:tc>
      </w:tr>
      <w:tr w:rsidR="00134A44">
        <w:trPr>
          <w:trHeight w:val="210"/>
          <w:tblCellSpacing w:w="0" w:type="dxa"/>
        </w:trPr>
        <w:tc>
          <w:tcPr>
            <w:tcW w:w="0" w:type="auto"/>
            <w:vMerge/>
            <w:vAlign w:val="center"/>
            <w:hideMark/>
          </w:tcPr>
          <w:p w:rsidR="00134A44" w:rsidRPr="009D0A9A" w:rsidRDefault="00134A44"/>
        </w:tc>
        <w:tc>
          <w:tcPr>
            <w:tcW w:w="0" w:type="auto"/>
            <w:vAlign w:val="center"/>
            <w:hideMark/>
          </w:tcPr>
          <w:p w:rsidR="00134A44" w:rsidRDefault="009D0A9A">
            <w:r>
              <w:t>Индекс Шеннона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1,08</w:t>
            </w:r>
          </w:p>
        </w:tc>
      </w:tr>
      <w:tr w:rsidR="00134A44">
        <w:trPr>
          <w:trHeight w:val="210"/>
          <w:tblCellSpacing w:w="0" w:type="dxa"/>
        </w:trPr>
        <w:tc>
          <w:tcPr>
            <w:tcW w:w="0" w:type="auto"/>
            <w:vMerge/>
            <w:vAlign w:val="center"/>
            <w:hideMark/>
          </w:tcPr>
          <w:p w:rsidR="00134A44" w:rsidRPr="009D0A9A" w:rsidRDefault="00134A44"/>
        </w:tc>
        <w:tc>
          <w:tcPr>
            <w:tcW w:w="0" w:type="auto"/>
            <w:vAlign w:val="center"/>
            <w:hideMark/>
          </w:tcPr>
          <w:p w:rsidR="00134A44" w:rsidRDefault="009D0A9A">
            <w:r>
              <w:t>Индекс Маргалефа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1,05</w:t>
            </w:r>
          </w:p>
        </w:tc>
      </w:tr>
      <w:tr w:rsidR="00134A44">
        <w:trPr>
          <w:trHeight w:val="210"/>
          <w:tblCellSpacing w:w="0" w:type="dxa"/>
        </w:trPr>
        <w:tc>
          <w:tcPr>
            <w:tcW w:w="0" w:type="auto"/>
            <w:vMerge/>
            <w:vAlign w:val="center"/>
            <w:hideMark/>
          </w:tcPr>
          <w:p w:rsidR="00134A44" w:rsidRPr="009D0A9A" w:rsidRDefault="00134A44"/>
        </w:tc>
        <w:tc>
          <w:tcPr>
            <w:tcW w:w="0" w:type="auto"/>
            <w:vAlign w:val="center"/>
            <w:hideMark/>
          </w:tcPr>
          <w:p w:rsidR="00134A44" w:rsidRDefault="009D0A9A">
            <w:r>
              <w:t>Индекс Симпсона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0,69</w:t>
            </w:r>
          </w:p>
        </w:tc>
      </w:tr>
      <w:tr w:rsidR="00134A44">
        <w:trPr>
          <w:trHeight w:val="210"/>
          <w:tblCellSpacing w:w="0" w:type="dxa"/>
        </w:trPr>
        <w:tc>
          <w:tcPr>
            <w:tcW w:w="0" w:type="auto"/>
            <w:vMerge w:val="restart"/>
            <w:vAlign w:val="center"/>
            <w:hideMark/>
          </w:tcPr>
          <w:p w:rsidR="00134A44" w:rsidRDefault="009D0A9A">
            <w:r>
              <w:t>Сундырь</w:t>
            </w:r>
          </w:p>
        </w:tc>
        <w:tc>
          <w:tcPr>
            <w:tcW w:w="0" w:type="auto"/>
            <w:vAlign w:val="center"/>
            <w:hideMark/>
          </w:tcPr>
          <w:p w:rsidR="00134A44" w:rsidRDefault="009D0A9A">
            <w:r>
              <w:t>численность</w:t>
            </w:r>
          </w:p>
        </w:tc>
        <w:tc>
          <w:tcPr>
            <w:tcW w:w="0" w:type="auto"/>
            <w:vAlign w:val="center"/>
            <w:hideMark/>
          </w:tcPr>
          <w:p w:rsidR="00134A44" w:rsidRDefault="009D0A9A">
            <w:r>
              <w:t> </w:t>
            </w:r>
          </w:p>
        </w:tc>
        <w:tc>
          <w:tcPr>
            <w:tcW w:w="0" w:type="auto"/>
            <w:vAlign w:val="center"/>
            <w:hideMark/>
          </w:tcPr>
          <w:p w:rsidR="00134A44" w:rsidRDefault="009D0A9A">
            <w:r>
              <w:t>250</w:t>
            </w:r>
          </w:p>
        </w:tc>
        <w:tc>
          <w:tcPr>
            <w:tcW w:w="0" w:type="auto"/>
            <w:vAlign w:val="center"/>
            <w:hideMark/>
          </w:tcPr>
          <w:p w:rsidR="00134A44" w:rsidRDefault="009D0A9A">
            <w:r>
              <w:t>5000</w:t>
            </w:r>
          </w:p>
        </w:tc>
        <w:tc>
          <w:tcPr>
            <w:tcW w:w="0" w:type="auto"/>
            <w:vAlign w:val="center"/>
            <w:hideMark/>
          </w:tcPr>
          <w:p w:rsidR="00134A44" w:rsidRDefault="009D0A9A">
            <w:r>
              <w:t>7101</w:t>
            </w:r>
          </w:p>
        </w:tc>
        <w:tc>
          <w:tcPr>
            <w:tcW w:w="0" w:type="auto"/>
            <w:vAlign w:val="center"/>
            <w:hideMark/>
          </w:tcPr>
          <w:p w:rsidR="00134A44" w:rsidRDefault="009D0A9A">
            <w:r>
              <w:t>4117</w:t>
            </w:r>
          </w:p>
        </w:tc>
      </w:tr>
      <w:tr w:rsidR="00134A44">
        <w:trPr>
          <w:trHeight w:val="210"/>
          <w:tblCellSpacing w:w="0" w:type="dxa"/>
        </w:trPr>
        <w:tc>
          <w:tcPr>
            <w:tcW w:w="0" w:type="auto"/>
            <w:vMerge/>
            <w:vAlign w:val="center"/>
            <w:hideMark/>
          </w:tcPr>
          <w:p w:rsidR="00134A44" w:rsidRDefault="00134A44"/>
        </w:tc>
        <w:tc>
          <w:tcPr>
            <w:tcW w:w="0" w:type="auto"/>
            <w:vAlign w:val="center"/>
            <w:hideMark/>
          </w:tcPr>
          <w:p w:rsidR="00134A44" w:rsidRDefault="009D0A9A">
            <w:r>
              <w:t>ихтиомасса</w:t>
            </w:r>
          </w:p>
        </w:tc>
        <w:tc>
          <w:tcPr>
            <w:tcW w:w="0" w:type="auto"/>
            <w:vAlign w:val="center"/>
            <w:hideMark/>
          </w:tcPr>
          <w:p w:rsidR="00134A44" w:rsidRDefault="009D0A9A">
            <w:r>
              <w:t> </w:t>
            </w:r>
          </w:p>
        </w:tc>
        <w:tc>
          <w:tcPr>
            <w:tcW w:w="0" w:type="auto"/>
            <w:vAlign w:val="center"/>
            <w:hideMark/>
          </w:tcPr>
          <w:p w:rsidR="00134A44" w:rsidRDefault="009D0A9A">
            <w:r>
              <w:t>0,1</w:t>
            </w:r>
          </w:p>
        </w:tc>
        <w:tc>
          <w:tcPr>
            <w:tcW w:w="0" w:type="auto"/>
            <w:vAlign w:val="center"/>
            <w:hideMark/>
          </w:tcPr>
          <w:p w:rsidR="00134A44" w:rsidRDefault="009D0A9A">
            <w:r>
              <w:t>25,5</w:t>
            </w:r>
          </w:p>
        </w:tc>
        <w:tc>
          <w:tcPr>
            <w:tcW w:w="0" w:type="auto"/>
            <w:vAlign w:val="center"/>
            <w:hideMark/>
          </w:tcPr>
          <w:p w:rsidR="00134A44" w:rsidRDefault="009D0A9A">
            <w:r>
              <w:t>30,0</w:t>
            </w:r>
          </w:p>
        </w:tc>
        <w:tc>
          <w:tcPr>
            <w:tcW w:w="0" w:type="auto"/>
            <w:vAlign w:val="center"/>
            <w:hideMark/>
          </w:tcPr>
          <w:p w:rsidR="00134A44" w:rsidRDefault="009D0A9A">
            <w:r>
              <w:t>18,6</w:t>
            </w:r>
          </w:p>
        </w:tc>
      </w:tr>
      <w:tr w:rsidR="00134A44">
        <w:trPr>
          <w:trHeight w:val="210"/>
          <w:tblCellSpacing w:w="0" w:type="dxa"/>
        </w:trPr>
        <w:tc>
          <w:tcPr>
            <w:tcW w:w="0" w:type="auto"/>
            <w:vMerge/>
            <w:vAlign w:val="center"/>
            <w:hideMark/>
          </w:tcPr>
          <w:p w:rsidR="00134A44" w:rsidRDefault="00134A44"/>
        </w:tc>
        <w:tc>
          <w:tcPr>
            <w:tcW w:w="0" w:type="auto"/>
            <w:vAlign w:val="center"/>
            <w:hideMark/>
          </w:tcPr>
          <w:p w:rsidR="00134A44" w:rsidRDefault="009D0A9A">
            <w:r>
              <w:t>количество видов</w:t>
            </w:r>
          </w:p>
        </w:tc>
        <w:tc>
          <w:tcPr>
            <w:tcW w:w="0" w:type="auto"/>
            <w:vAlign w:val="center"/>
            <w:hideMark/>
          </w:tcPr>
          <w:p w:rsidR="00134A44" w:rsidRDefault="009D0A9A">
            <w:r>
              <w:t> </w:t>
            </w:r>
          </w:p>
        </w:tc>
        <w:tc>
          <w:tcPr>
            <w:tcW w:w="0" w:type="auto"/>
            <w:vAlign w:val="center"/>
            <w:hideMark/>
          </w:tcPr>
          <w:p w:rsidR="00134A44" w:rsidRDefault="009D0A9A">
            <w:r>
              <w:t>1</w:t>
            </w:r>
          </w:p>
        </w:tc>
        <w:tc>
          <w:tcPr>
            <w:tcW w:w="0" w:type="auto"/>
            <w:vAlign w:val="center"/>
            <w:hideMark/>
          </w:tcPr>
          <w:p w:rsidR="00134A44" w:rsidRDefault="009D0A9A">
            <w:r>
              <w:t>8</w:t>
            </w:r>
          </w:p>
        </w:tc>
        <w:tc>
          <w:tcPr>
            <w:tcW w:w="0" w:type="auto"/>
            <w:vAlign w:val="center"/>
            <w:hideMark/>
          </w:tcPr>
          <w:p w:rsidR="00134A44" w:rsidRDefault="009D0A9A">
            <w:r>
              <w:t>15</w:t>
            </w:r>
          </w:p>
        </w:tc>
        <w:tc>
          <w:tcPr>
            <w:tcW w:w="0" w:type="auto"/>
            <w:vAlign w:val="center"/>
            <w:hideMark/>
          </w:tcPr>
          <w:p w:rsidR="00134A44" w:rsidRDefault="009D0A9A">
            <w:r>
              <w:t>21*</w:t>
            </w:r>
          </w:p>
        </w:tc>
      </w:tr>
      <w:tr w:rsidR="00134A44">
        <w:trPr>
          <w:trHeight w:val="210"/>
          <w:tblCellSpacing w:w="0" w:type="dxa"/>
        </w:trPr>
        <w:tc>
          <w:tcPr>
            <w:tcW w:w="0" w:type="auto"/>
            <w:vMerge/>
            <w:vAlign w:val="center"/>
            <w:hideMark/>
          </w:tcPr>
          <w:p w:rsidR="00134A44" w:rsidRDefault="00134A44"/>
        </w:tc>
        <w:tc>
          <w:tcPr>
            <w:tcW w:w="0" w:type="auto"/>
            <w:vAlign w:val="center"/>
            <w:hideMark/>
          </w:tcPr>
          <w:p w:rsidR="00134A44" w:rsidRDefault="009D0A9A">
            <w:r>
              <w:t>Индекс Шеннона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2,52</w:t>
            </w:r>
          </w:p>
        </w:tc>
      </w:tr>
      <w:tr w:rsidR="00134A44">
        <w:trPr>
          <w:trHeight w:val="210"/>
          <w:tblCellSpacing w:w="0" w:type="dxa"/>
        </w:trPr>
        <w:tc>
          <w:tcPr>
            <w:tcW w:w="0" w:type="auto"/>
            <w:vMerge/>
            <w:vAlign w:val="center"/>
            <w:hideMark/>
          </w:tcPr>
          <w:p w:rsidR="00134A44" w:rsidRDefault="00134A44"/>
        </w:tc>
        <w:tc>
          <w:tcPr>
            <w:tcW w:w="0" w:type="auto"/>
            <w:vAlign w:val="center"/>
            <w:hideMark/>
          </w:tcPr>
          <w:p w:rsidR="00134A44" w:rsidRDefault="009D0A9A">
            <w:r>
              <w:t>Индекс Маргалефа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3,01</w:t>
            </w:r>
          </w:p>
        </w:tc>
      </w:tr>
      <w:tr w:rsidR="00134A44">
        <w:trPr>
          <w:trHeight w:val="225"/>
          <w:tblCellSpacing w:w="0" w:type="dxa"/>
        </w:trPr>
        <w:tc>
          <w:tcPr>
            <w:tcW w:w="0" w:type="auto"/>
            <w:vMerge/>
            <w:vAlign w:val="center"/>
            <w:hideMark/>
          </w:tcPr>
          <w:p w:rsidR="00134A44" w:rsidRDefault="00134A44"/>
        </w:tc>
        <w:tc>
          <w:tcPr>
            <w:tcW w:w="0" w:type="auto"/>
            <w:vAlign w:val="center"/>
            <w:hideMark/>
          </w:tcPr>
          <w:p w:rsidR="00134A44" w:rsidRDefault="009D0A9A">
            <w:r>
              <w:t>Индекс Симпсона</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 </w:t>
            </w:r>
          </w:p>
        </w:tc>
        <w:tc>
          <w:tcPr>
            <w:tcW w:w="0" w:type="auto"/>
            <w:vAlign w:val="center"/>
            <w:hideMark/>
          </w:tcPr>
          <w:p w:rsidR="00134A44" w:rsidRDefault="009D0A9A">
            <w:r>
              <w:t>0,34</w:t>
            </w:r>
          </w:p>
        </w:tc>
      </w:tr>
    </w:tbl>
    <w:p w:rsidR="00134A44" w:rsidRPr="009D0A9A" w:rsidRDefault="009D0A9A">
      <w:pPr>
        <w:pStyle w:val="a3"/>
      </w:pPr>
      <w:r>
        <w:t>Поднятия уровня воды может благоприятно повлиять на состоянии популяции горчака - другого вида из Красной книги РМЭ. Произойдет заселение вновь образовавшихся заливов и пойменных водоемов. Этому будет способствовать изменение гидрологических условий: горчак предпочитает стоячие, хорошо заросшие водоемы. Однако такие водоемы интенсивно заселяются ротаном, конкуренции с которым популяции горчака выдержать не смогут.</w:t>
      </w:r>
    </w:p>
    <w:p w:rsidR="00134A44" w:rsidRDefault="009D0A9A">
      <w:pPr>
        <w:pStyle w:val="a3"/>
      </w:pPr>
      <w:r>
        <w:t>Рекогносцировочный кластерный анализ позволил визуализировать разделение исследованных рек на два кластера по численности (экз./га), биомассе (кг/га) и видовому богатству в ППП Statistica 6.0. (рис. 2). Дендрограмма построена для русловой части водотоков, без учета устьевых расширений выглядит следующим образом.</w:t>
      </w:r>
    </w:p>
    <w:p w:rsidR="00134A44" w:rsidRDefault="009D0A9A">
      <w:pPr>
        <w:pStyle w:val="a3"/>
      </w:pPr>
      <w:r>
        <w:t>В один кластер попали реки Сумка, Сун- дырь и Б. Юнга, в другой - река М. Юнга, что возможно связано с орографическим расположением водотока и особенностями его гидрологии (табл. 1, рис. 1). Проведенный дисперсионный анализ выявил статистически достоверное различие водотоков только по показателю численности (р=0,006).</w:t>
      </w:r>
    </w:p>
    <w:p w:rsidR="00134A44" w:rsidRDefault="009D0A9A">
      <w:pPr>
        <w:pStyle w:val="a3"/>
      </w:pPr>
      <w:r>
        <w:t>Выводы. Первые исследования малых рек - правобережных притоков Чебоксарского водохранилища в Республике Марий Эл показали, что даже в незначительных по длине и водности водотоках разнообразие рыб довольно большое (до 25 видов). Известно, что эволюционная устойчивость экосистем тесно связана с уровнем биологического разнообразия. В составе ихтиофауны присутствуют реофиль- ные и лимнофильные виды, типично речные и водохранилищные, чужеродные виды и виды, занесенные в Красную книгу. При этом численность и биомасса рыб варьируют в зависимости от гидрологических особенностей, как самих рек, так и отдельных их участков, эти показатели могут достигать значительных величин - до 81250 экз./га и до 230,1 кг/га.</w:t>
      </w:r>
    </w:p>
    <w:p w:rsidR="00134A44" w:rsidRDefault="009D0A9A">
      <w:pPr>
        <w:pStyle w:val="a3"/>
      </w:pPr>
      <w:r>
        <w:t>Выполненный объем ихтиологических исследований позволяет сделать только предварительные выводы по рыбному населению рек Правобережья Чебоксарского водохранилища. Дальнейшие исследования по видовому составу, численности, экологии рыб, которые намечает осуществить Нижегородская лаборатория ГосНИОРХ, позволят составить более детальную картину состояния ихтиокомплекса малых рек данного региона.</w:t>
      </w:r>
    </w:p>
    <w:p w:rsidR="00134A44" w:rsidRDefault="009D0A9A">
      <w:pPr>
        <w:pStyle w:val="a3"/>
      </w:pPr>
      <w:r>
        <w:t>Список литературы</w:t>
      </w:r>
    </w:p>
    <w:p w:rsidR="00134A44" w:rsidRDefault="009D0A9A">
      <w:pPr>
        <w:pStyle w:val="a3"/>
      </w:pPr>
      <w:r>
        <w:t>Мазуркин П.М., Иванов А. А.. Структура речной сети Республики Марий Эл // Охрана и защита, обустройство, индикация и тестирование природной среды: сб. статей. - М.: Академия Естествознания, - С. 202-207.</w:t>
      </w:r>
    </w:p>
    <w:p w:rsidR="00134A44" w:rsidRDefault="009D0A9A">
      <w:pPr>
        <w:pStyle w:val="a3"/>
      </w:pPr>
      <w:r>
        <w:t>Ефремов П.Г., Балдаев Х.Ф.. Рыбы рек и озер Марийской АССР. - Йошкар-Ола: Марийское книжное издательство, 1971. - 119 с.</w:t>
      </w:r>
    </w:p>
    <w:p w:rsidR="00134A44" w:rsidRDefault="009D0A9A">
      <w:pPr>
        <w:pStyle w:val="a3"/>
      </w:pPr>
      <w:r>
        <w:t>Правдин И.Ф. Руководство по изучению рыб. - М.: Пищевая промышленность, 1966.</w:t>
      </w:r>
    </w:p>
    <w:p w:rsidR="00134A44" w:rsidRDefault="009D0A9A">
      <w:pPr>
        <w:pStyle w:val="a3"/>
      </w:pPr>
      <w:r>
        <w:t>Котляр О.А. Методы рыбохозяйственных исследований (ихтиофауна). Рыбное, 2004. 180 с.</w:t>
      </w:r>
    </w:p>
    <w:p w:rsidR="00134A44" w:rsidRDefault="009D0A9A">
      <w:pPr>
        <w:pStyle w:val="a3"/>
      </w:pPr>
      <w:r>
        <w:t>Аннотированный каталог круглоротых и рыб континентальных вод России. М.: Наука. 1998. - 218 с.</w:t>
      </w:r>
    </w:p>
    <w:p w:rsidR="00134A44" w:rsidRDefault="009D0A9A">
      <w:pPr>
        <w:pStyle w:val="a3"/>
      </w:pPr>
      <w:r>
        <w:t>Атлас пресноводных рыб России: В двух томах. Под ред. Ю.С. Решетникова. М.: Наука. 2003. 379 с.</w:t>
      </w:r>
      <w:bookmarkStart w:id="0" w:name="_GoBack"/>
      <w:bookmarkEnd w:id="0"/>
    </w:p>
    <w:sectPr w:rsidR="00134A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A9A"/>
    <w:rsid w:val="00134A44"/>
    <w:rsid w:val="009D0A9A"/>
    <w:rsid w:val="00EF5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2AD3171-C608-43BF-9873-D66B95B7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1770</Words>
  <Characters>10091</Characters>
  <Application>Microsoft Office Word</Application>
  <DocSecurity>0</DocSecurity>
  <Lines>84</Lines>
  <Paragraphs>23</Paragraphs>
  <ScaleCrop>false</ScaleCrop>
  <Company>diakov.net</Company>
  <LinksUpToDate>false</LinksUpToDate>
  <CharactersWithSpaces>11838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Рыбное население малых рек - правобережных притоков Чебоксарского водохранилища на территории республики Марий Эл</dc:title>
  <dc:subject/>
  <dc:creator>Irina</dc:creator>
  <cp:keywords/>
  <dc:description/>
  <cp:lastModifiedBy>Irina</cp:lastModifiedBy>
  <cp:revision>2</cp:revision>
  <dcterms:created xsi:type="dcterms:W3CDTF">2014-08-02T18:40:00Z</dcterms:created>
  <dcterms:modified xsi:type="dcterms:W3CDTF">2014-08-02T18:40:00Z</dcterms:modified>
</cp:coreProperties>
</file>