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5F" w:rsidRPr="00F371C8" w:rsidRDefault="006A3A55" w:rsidP="006A3A55">
      <w:pPr>
        <w:pStyle w:val="ad"/>
        <w:jc w:val="center"/>
      </w:pPr>
      <w:r w:rsidRPr="00F371C8">
        <w:t>Федеральное агентство по образованию</w:t>
      </w:r>
    </w:p>
    <w:p w:rsidR="005B3B5F" w:rsidRPr="00F371C8" w:rsidRDefault="005B3B5F" w:rsidP="006A3A55">
      <w:pPr>
        <w:pStyle w:val="ad"/>
        <w:jc w:val="center"/>
      </w:pPr>
      <w:r w:rsidRPr="00F371C8">
        <w:t>Государственное образовательное учреждение высшего профессионального образования</w:t>
      </w:r>
    </w:p>
    <w:p w:rsidR="005B3B5F" w:rsidRPr="00F371C8" w:rsidRDefault="005B3B5F" w:rsidP="006A3A55">
      <w:pPr>
        <w:pStyle w:val="ad"/>
        <w:jc w:val="center"/>
      </w:pPr>
      <w:r w:rsidRPr="00F371C8">
        <w:t>«Северо-Западный Государственный Заочный Технический Университет»</w:t>
      </w:r>
    </w:p>
    <w:p w:rsidR="005B3B5F" w:rsidRPr="00F371C8" w:rsidRDefault="005B3B5F" w:rsidP="006A3A55">
      <w:pPr>
        <w:pStyle w:val="ad"/>
        <w:jc w:val="center"/>
      </w:pPr>
      <w:r w:rsidRPr="00F371C8">
        <w:t>Институт управления производственными и инновационными программами</w:t>
      </w:r>
    </w:p>
    <w:p w:rsidR="005B3B5F" w:rsidRPr="00F371C8" w:rsidRDefault="005B3B5F" w:rsidP="006A3A55">
      <w:pPr>
        <w:pStyle w:val="ad"/>
        <w:jc w:val="center"/>
      </w:pPr>
      <w:r w:rsidRPr="00F371C8">
        <w:t>Кафедра управления финансами</w:t>
      </w:r>
    </w:p>
    <w:p w:rsidR="005B3B5F" w:rsidRPr="00F371C8" w:rsidRDefault="005B3B5F" w:rsidP="006A3A55">
      <w:pPr>
        <w:pStyle w:val="ad"/>
        <w:jc w:val="center"/>
      </w:pPr>
    </w:p>
    <w:p w:rsidR="005B3B5F" w:rsidRPr="00F371C8" w:rsidRDefault="005B3B5F" w:rsidP="006A3A55">
      <w:pPr>
        <w:pStyle w:val="ad"/>
        <w:jc w:val="center"/>
      </w:pPr>
    </w:p>
    <w:p w:rsidR="005B3B5F" w:rsidRPr="00F371C8" w:rsidRDefault="005B3B5F" w:rsidP="006A3A55">
      <w:pPr>
        <w:pStyle w:val="ad"/>
        <w:jc w:val="center"/>
      </w:pPr>
    </w:p>
    <w:p w:rsidR="005B3B5F" w:rsidRPr="00F371C8" w:rsidRDefault="005B3B5F" w:rsidP="006A3A55">
      <w:pPr>
        <w:pStyle w:val="ad"/>
        <w:jc w:val="center"/>
      </w:pPr>
    </w:p>
    <w:p w:rsidR="00F02169" w:rsidRPr="00F371C8" w:rsidRDefault="006A3A55" w:rsidP="006A3A55">
      <w:pPr>
        <w:pStyle w:val="ad"/>
        <w:jc w:val="center"/>
      </w:pPr>
      <w:r w:rsidRPr="00F371C8">
        <w:t>КОНТРОЛЬНАЯ РАБОТА</w:t>
      </w:r>
    </w:p>
    <w:p w:rsidR="006A3A55" w:rsidRPr="00F371C8" w:rsidRDefault="006A3A55" w:rsidP="006A3A55">
      <w:pPr>
        <w:pStyle w:val="ad"/>
        <w:jc w:val="center"/>
      </w:pPr>
      <w:r w:rsidRPr="00F371C8">
        <w:t>Дисциплина: Финансы</w:t>
      </w:r>
    </w:p>
    <w:p w:rsidR="005B3B5F" w:rsidRPr="00F371C8" w:rsidRDefault="005B3B5F" w:rsidP="006A3A55">
      <w:pPr>
        <w:pStyle w:val="ad"/>
        <w:jc w:val="center"/>
      </w:pPr>
      <w:r w:rsidRPr="00F371C8">
        <w:t>на тему:</w:t>
      </w:r>
      <w:r w:rsidR="006A3A55" w:rsidRPr="00F371C8">
        <w:t xml:space="preserve"> </w:t>
      </w:r>
      <w:r w:rsidRPr="00F371C8">
        <w:t>«</w:t>
      </w:r>
      <w:r w:rsidR="00DD3A53" w:rsidRPr="00F371C8">
        <w:t>Европейская валютная система</w:t>
      </w:r>
      <w:r w:rsidRPr="00F371C8">
        <w:t>»</w:t>
      </w:r>
    </w:p>
    <w:p w:rsidR="005B3B5F" w:rsidRDefault="005B3B5F" w:rsidP="006A3A55">
      <w:pPr>
        <w:pStyle w:val="ad"/>
        <w:jc w:val="center"/>
      </w:pPr>
    </w:p>
    <w:p w:rsidR="00942492" w:rsidRPr="00F371C8" w:rsidRDefault="00942492" w:rsidP="006A3A55">
      <w:pPr>
        <w:pStyle w:val="ad"/>
        <w:jc w:val="center"/>
      </w:pPr>
    </w:p>
    <w:p w:rsidR="006A3A55" w:rsidRPr="00F371C8" w:rsidRDefault="006A3A55" w:rsidP="006A3A55">
      <w:pPr>
        <w:pStyle w:val="ad"/>
        <w:jc w:val="center"/>
      </w:pPr>
    </w:p>
    <w:p w:rsidR="005B3B5F" w:rsidRPr="00F371C8" w:rsidRDefault="006A3A55" w:rsidP="00AC53B5">
      <w:pPr>
        <w:pStyle w:val="ad"/>
      </w:pPr>
      <w:r w:rsidRPr="00F371C8">
        <w:t>Выполнил:</w:t>
      </w:r>
    </w:p>
    <w:p w:rsidR="005B3B5F" w:rsidRPr="00F371C8" w:rsidRDefault="005B3B5F" w:rsidP="00AC53B5">
      <w:pPr>
        <w:pStyle w:val="ad"/>
      </w:pPr>
      <w:r w:rsidRPr="00F371C8">
        <w:t>студентка 3 курса ИУП и ИП</w:t>
      </w:r>
    </w:p>
    <w:p w:rsidR="005B3B5F" w:rsidRPr="00F371C8" w:rsidRDefault="005B3B5F" w:rsidP="00AC53B5">
      <w:pPr>
        <w:pStyle w:val="ad"/>
      </w:pPr>
      <w:r w:rsidRPr="00F371C8">
        <w:t>Группа 734-02</w:t>
      </w:r>
      <w:r w:rsidR="006A3A55" w:rsidRPr="00F371C8">
        <w:t xml:space="preserve"> с</w:t>
      </w:r>
      <w:r w:rsidRPr="00F371C8">
        <w:t>пециальность 080105.65</w:t>
      </w:r>
    </w:p>
    <w:p w:rsidR="005B3B5F" w:rsidRPr="00F371C8" w:rsidRDefault="005B3B5F" w:rsidP="00AC53B5">
      <w:pPr>
        <w:pStyle w:val="ad"/>
      </w:pPr>
      <w:r w:rsidRPr="00F371C8">
        <w:t>Шифр 7701031144</w:t>
      </w:r>
    </w:p>
    <w:p w:rsidR="005B3B5F" w:rsidRPr="00F371C8" w:rsidRDefault="005B3B5F" w:rsidP="00AC53B5">
      <w:pPr>
        <w:pStyle w:val="ad"/>
      </w:pPr>
      <w:r w:rsidRPr="00F371C8">
        <w:t>Пескина О.В.</w:t>
      </w:r>
    </w:p>
    <w:p w:rsidR="008A7B22" w:rsidRPr="00F371C8" w:rsidRDefault="006A3A55" w:rsidP="00AC53B5">
      <w:pPr>
        <w:pStyle w:val="ad"/>
      </w:pPr>
      <w:r w:rsidRPr="00F371C8">
        <w:t xml:space="preserve">Проверил: </w:t>
      </w:r>
      <w:r w:rsidR="008A7B22" w:rsidRPr="00F371C8">
        <w:t>старший преподаватель</w:t>
      </w:r>
    </w:p>
    <w:p w:rsidR="005B3B5F" w:rsidRPr="00F371C8" w:rsidRDefault="008E70CA" w:rsidP="00AC53B5">
      <w:pPr>
        <w:pStyle w:val="ad"/>
      </w:pPr>
      <w:r w:rsidRPr="00F371C8">
        <w:t>Куликова М.А.</w:t>
      </w:r>
    </w:p>
    <w:p w:rsidR="00C30F8D" w:rsidRPr="00F371C8" w:rsidRDefault="00C30F8D" w:rsidP="006A3A55">
      <w:pPr>
        <w:pStyle w:val="ad"/>
        <w:jc w:val="center"/>
      </w:pPr>
    </w:p>
    <w:p w:rsidR="007755F2" w:rsidRPr="00F371C8" w:rsidRDefault="007755F2" w:rsidP="006A3A55">
      <w:pPr>
        <w:pStyle w:val="ad"/>
        <w:jc w:val="center"/>
      </w:pPr>
    </w:p>
    <w:p w:rsidR="001B5620" w:rsidRPr="00F371C8" w:rsidRDefault="001B5620" w:rsidP="006A3A55">
      <w:pPr>
        <w:pStyle w:val="ad"/>
        <w:jc w:val="center"/>
      </w:pPr>
    </w:p>
    <w:p w:rsidR="005B3B5F" w:rsidRPr="00F371C8" w:rsidRDefault="005B3B5F" w:rsidP="006A3A55">
      <w:pPr>
        <w:pStyle w:val="ad"/>
        <w:jc w:val="center"/>
      </w:pPr>
      <w:r w:rsidRPr="00F371C8">
        <w:t>Санкт-Петербург</w:t>
      </w:r>
      <w:r w:rsidR="006A3A55" w:rsidRPr="00F371C8">
        <w:t xml:space="preserve"> </w:t>
      </w:r>
      <w:r w:rsidRPr="00F371C8">
        <w:t>2010</w:t>
      </w:r>
    </w:p>
    <w:p w:rsidR="001B2EEF" w:rsidRPr="00F371C8" w:rsidRDefault="006A3A55" w:rsidP="00AC53B5">
      <w:pPr>
        <w:pStyle w:val="ad"/>
      </w:pPr>
      <w:bookmarkStart w:id="0" w:name="_Toc258789476"/>
      <w:bookmarkStart w:id="1" w:name="_Toc258839157"/>
      <w:bookmarkStart w:id="2" w:name="_Toc259564161"/>
      <w:bookmarkStart w:id="3" w:name="_Toc259564211"/>
      <w:bookmarkStart w:id="4" w:name="_Toc259564335"/>
      <w:r w:rsidRPr="00F371C8">
        <w:br w:type="page"/>
      </w:r>
      <w:r w:rsidR="007C17F1" w:rsidRPr="00F371C8">
        <w:t>Содержание</w:t>
      </w:r>
      <w:bookmarkEnd w:id="0"/>
      <w:bookmarkEnd w:id="1"/>
      <w:bookmarkEnd w:id="2"/>
      <w:bookmarkEnd w:id="3"/>
      <w:bookmarkEnd w:id="4"/>
    </w:p>
    <w:p w:rsidR="006234F9" w:rsidRPr="00F371C8" w:rsidRDefault="006234F9" w:rsidP="00B668E6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</w:p>
    <w:p w:rsidR="006234F9" w:rsidRPr="00F371C8" w:rsidRDefault="006A3A55" w:rsidP="00B668E6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  <w:r w:rsidRPr="004C13F5">
        <w:rPr>
          <w:noProof/>
        </w:rPr>
        <w:t>Введение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3</w:t>
      </w:r>
    </w:p>
    <w:p w:rsidR="006234F9" w:rsidRPr="00F371C8" w:rsidRDefault="006A3A55" w:rsidP="00B668E6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  <w:r w:rsidRPr="004C13F5">
        <w:rPr>
          <w:noProof/>
        </w:rPr>
        <w:t xml:space="preserve">1. Роберт </w:t>
      </w:r>
      <w:r w:rsidR="007C17F1" w:rsidRPr="004C13F5">
        <w:rPr>
          <w:noProof/>
        </w:rPr>
        <w:t>М</w:t>
      </w:r>
      <w:r w:rsidRPr="004C13F5">
        <w:rPr>
          <w:noProof/>
        </w:rPr>
        <w:t>анделл «</w:t>
      </w:r>
      <w:r w:rsidR="007C17F1" w:rsidRPr="004C13F5">
        <w:rPr>
          <w:noProof/>
        </w:rPr>
        <w:t>Т</w:t>
      </w:r>
      <w:r w:rsidRPr="004C13F5">
        <w:rPr>
          <w:noProof/>
        </w:rPr>
        <w:t>еория оптимальных валютных зон»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4</w:t>
      </w:r>
    </w:p>
    <w:p w:rsidR="006234F9" w:rsidRPr="00F371C8" w:rsidRDefault="006A3A55" w:rsidP="00B668E6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  <w:r w:rsidRPr="004C13F5">
        <w:rPr>
          <w:noProof/>
        </w:rPr>
        <w:t>2. Европейская валютная система. Процесс становления: от валютного союза к единой валюте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6</w:t>
      </w:r>
    </w:p>
    <w:p w:rsidR="006234F9" w:rsidRPr="00F371C8" w:rsidRDefault="006A3A55" w:rsidP="006A3A55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C13F5">
        <w:rPr>
          <w:noProof/>
        </w:rPr>
        <w:t>3. Особенности европейской валютной системы на современном этапе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12</w:t>
      </w:r>
    </w:p>
    <w:p w:rsidR="006234F9" w:rsidRPr="00F371C8" w:rsidRDefault="006A3A55" w:rsidP="006A3A55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C13F5">
        <w:rPr>
          <w:noProof/>
        </w:rPr>
        <w:t>Заключение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20</w:t>
      </w:r>
    </w:p>
    <w:p w:rsidR="006234F9" w:rsidRPr="00F371C8" w:rsidRDefault="006A3A55" w:rsidP="006A3A55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C13F5">
        <w:rPr>
          <w:noProof/>
        </w:rPr>
        <w:t>Структурно-логическая схема контрольной работы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22</w:t>
      </w:r>
    </w:p>
    <w:p w:rsidR="006234F9" w:rsidRPr="00F371C8" w:rsidRDefault="006A3A55" w:rsidP="006A3A55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C13F5">
        <w:rPr>
          <w:noProof/>
        </w:rPr>
        <w:t>Список использованной литературы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22</w:t>
      </w:r>
    </w:p>
    <w:p w:rsidR="006234F9" w:rsidRPr="00F371C8" w:rsidRDefault="006A3A55" w:rsidP="006A3A55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C13F5">
        <w:rPr>
          <w:noProof/>
        </w:rPr>
        <w:t>Приложение 1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24</w:t>
      </w:r>
    </w:p>
    <w:p w:rsidR="006234F9" w:rsidRPr="00F371C8" w:rsidRDefault="006A3A55" w:rsidP="006A3A55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C13F5">
        <w:rPr>
          <w:noProof/>
        </w:rPr>
        <w:t>Приложение 2</w:t>
      </w:r>
      <w:r w:rsidRPr="004C13F5">
        <w:rPr>
          <w:noProof/>
        </w:rPr>
        <w:tab/>
      </w:r>
      <w:r w:rsidR="00942492" w:rsidRPr="004C13F5">
        <w:rPr>
          <w:noProof/>
          <w:webHidden/>
        </w:rPr>
        <w:t>26</w:t>
      </w:r>
    </w:p>
    <w:p w:rsidR="00DE4CC9" w:rsidRPr="00F371C8" w:rsidRDefault="00DE4CC9" w:rsidP="00AC53B5">
      <w:pPr>
        <w:pStyle w:val="ad"/>
      </w:pPr>
    </w:p>
    <w:p w:rsidR="00BC1FF2" w:rsidRPr="00F371C8" w:rsidRDefault="00AC0C87" w:rsidP="00AC53B5">
      <w:pPr>
        <w:pStyle w:val="ad"/>
      </w:pPr>
      <w:r w:rsidRPr="00F371C8">
        <w:br w:type="page"/>
      </w:r>
      <w:bookmarkStart w:id="5" w:name="_Toc258616940"/>
      <w:bookmarkStart w:id="6" w:name="_Toc259564336"/>
      <w:r w:rsidR="007C17F1" w:rsidRPr="00F371C8">
        <w:t>Введение</w:t>
      </w:r>
      <w:bookmarkEnd w:id="5"/>
      <w:bookmarkEnd w:id="6"/>
    </w:p>
    <w:p w:rsidR="00C14BE2" w:rsidRPr="00F371C8" w:rsidRDefault="00C14BE2" w:rsidP="00AC53B5">
      <w:pPr>
        <w:pStyle w:val="ad"/>
      </w:pPr>
    </w:p>
    <w:p w:rsidR="00F02169" w:rsidRPr="00F371C8" w:rsidRDefault="00A24BB1" w:rsidP="00AC53B5">
      <w:pPr>
        <w:pStyle w:val="ad"/>
      </w:pPr>
      <w:r w:rsidRPr="00F371C8">
        <w:t>Европейская валютная система (ЕВС) привлекает к себе н</w:t>
      </w:r>
      <w:r w:rsidR="003730FC" w:rsidRPr="00F371C8">
        <w:t>аи</w:t>
      </w:r>
      <w:r w:rsidRPr="00F371C8">
        <w:t>большее внимание, так как это самая молодая и до сих пор изменя</w:t>
      </w:r>
      <w:r w:rsidR="001B5620" w:rsidRPr="00F371C8">
        <w:t>ющаяся</w:t>
      </w:r>
      <w:r w:rsidRPr="00F371C8">
        <w:t xml:space="preserve"> и продолжающая</w:t>
      </w:r>
      <w:r w:rsidR="00F02169" w:rsidRPr="00F371C8">
        <w:t xml:space="preserve"> </w:t>
      </w:r>
      <w:r w:rsidRPr="00F371C8">
        <w:t>формироваться</w:t>
      </w:r>
      <w:r w:rsidR="00F501C8" w:rsidRPr="00F371C8">
        <w:t xml:space="preserve"> система</w:t>
      </w:r>
      <w:r w:rsidRPr="00F371C8">
        <w:t>.</w:t>
      </w:r>
    </w:p>
    <w:p w:rsidR="00F02169" w:rsidRPr="00F371C8" w:rsidRDefault="00AE5F5C" w:rsidP="00AC53B5">
      <w:pPr>
        <w:pStyle w:val="ad"/>
      </w:pPr>
      <w:r w:rsidRPr="00F371C8">
        <w:t>В настоящее время в средствах массовой информации огромное внимание уделено Европейскому валютному союзу и возникающим в этом союзе экономическим проблемам.</w:t>
      </w:r>
    </w:p>
    <w:p w:rsidR="00AE5F5C" w:rsidRPr="00F371C8" w:rsidRDefault="00AE5F5C" w:rsidP="00AC53B5">
      <w:pPr>
        <w:pStyle w:val="ad"/>
      </w:pPr>
      <w:r w:rsidRPr="00F371C8">
        <w:t xml:space="preserve">Весь мир с огромным внимание следит за тем, каким образом Европейский валютный союз будет оказывать помощь одному из своих участников, который тяжелее всех справляется с негативным влияние </w:t>
      </w:r>
      <w:r w:rsidR="00A24BB1" w:rsidRPr="00F371C8">
        <w:t>мирового экономического кризиса,</w:t>
      </w:r>
      <w:r w:rsidRPr="00F371C8">
        <w:t xml:space="preserve"> Греции.</w:t>
      </w:r>
    </w:p>
    <w:p w:rsidR="001B5620" w:rsidRPr="00F371C8" w:rsidRDefault="00AE5F5C" w:rsidP="00AC53B5">
      <w:pPr>
        <w:pStyle w:val="ad"/>
      </w:pPr>
      <w:r w:rsidRPr="00F371C8">
        <w:t xml:space="preserve">Исходя из актуальности </w:t>
      </w:r>
      <w:r w:rsidR="00A24BB1" w:rsidRPr="00F371C8">
        <w:t xml:space="preserve">заданной мне тематики, целью </w:t>
      </w:r>
      <w:r w:rsidR="001B5620" w:rsidRPr="00F371C8">
        <w:t>моей работы является проследить возникновение Европейской валютной системы, ее историю и современное состояние.</w:t>
      </w:r>
    </w:p>
    <w:p w:rsidR="005363BD" w:rsidRPr="00F371C8" w:rsidRDefault="005363BD" w:rsidP="00AC53B5">
      <w:pPr>
        <w:pStyle w:val="ad"/>
      </w:pPr>
      <w:r w:rsidRPr="00F371C8">
        <w:t>Для достижения поставленной цели необходимо решить следующие задачи:</w:t>
      </w:r>
    </w:p>
    <w:p w:rsidR="005363BD" w:rsidRPr="00F371C8" w:rsidRDefault="00C9280F" w:rsidP="00AC53B5">
      <w:pPr>
        <w:pStyle w:val="ad"/>
      </w:pPr>
      <w:r w:rsidRPr="00F371C8">
        <w:t xml:space="preserve">систематизировать </w:t>
      </w:r>
      <w:r w:rsidR="009856C6" w:rsidRPr="00F371C8">
        <w:t>теоретическую информацию</w:t>
      </w:r>
      <w:r w:rsidR="005363BD" w:rsidRPr="00F371C8">
        <w:t>;</w:t>
      </w:r>
    </w:p>
    <w:p w:rsidR="005363BD" w:rsidRPr="00F371C8" w:rsidRDefault="005363BD" w:rsidP="00AC53B5">
      <w:pPr>
        <w:pStyle w:val="ad"/>
      </w:pPr>
      <w:r w:rsidRPr="00F371C8">
        <w:t xml:space="preserve">изучить и дать характеристику </w:t>
      </w:r>
      <w:r w:rsidR="009856C6" w:rsidRPr="00F371C8">
        <w:t>Европейской валютной системы</w:t>
      </w:r>
      <w:r w:rsidRPr="00F371C8">
        <w:t>;</w:t>
      </w:r>
    </w:p>
    <w:p w:rsidR="005363BD" w:rsidRPr="00F371C8" w:rsidRDefault="005363BD" w:rsidP="00AC53B5">
      <w:pPr>
        <w:pStyle w:val="ad"/>
      </w:pPr>
      <w:r w:rsidRPr="00F371C8">
        <w:t xml:space="preserve">провести анализ </w:t>
      </w:r>
      <w:r w:rsidR="00F501C8" w:rsidRPr="00F371C8">
        <w:t>ВВП и налогов</w:t>
      </w:r>
      <w:r w:rsidRPr="00F371C8">
        <w:t>;</w:t>
      </w:r>
    </w:p>
    <w:p w:rsidR="00F501C8" w:rsidRPr="00F371C8" w:rsidRDefault="005363BD" w:rsidP="00AC53B5">
      <w:pPr>
        <w:pStyle w:val="ad"/>
      </w:pPr>
      <w:r w:rsidRPr="00F371C8">
        <w:t>сформировать перечень выявленных проблем</w:t>
      </w:r>
      <w:r w:rsidR="00F501C8" w:rsidRPr="00F371C8">
        <w:t>.</w:t>
      </w:r>
    </w:p>
    <w:p w:rsidR="001B5620" w:rsidRPr="00F371C8" w:rsidRDefault="001B5620" w:rsidP="00AC53B5">
      <w:pPr>
        <w:pStyle w:val="ad"/>
      </w:pPr>
      <w:r w:rsidRPr="00F371C8">
        <w:t>Теоретические аспекты исследуемой темы освещены в одной из самых значительных работ современности – « Теория оптимальных валютных зон» Роберта Манделла, как основного идеолога и эксперта в данной тематике.</w:t>
      </w:r>
    </w:p>
    <w:p w:rsidR="005363BD" w:rsidRPr="00F371C8" w:rsidRDefault="005363BD" w:rsidP="00AC53B5">
      <w:pPr>
        <w:pStyle w:val="ad"/>
      </w:pPr>
      <w:r w:rsidRPr="00F371C8">
        <w:t xml:space="preserve">В качестве информационной базы для </w:t>
      </w:r>
      <w:r w:rsidR="00F501C8" w:rsidRPr="00F371C8">
        <w:t>написания контрольной работы</w:t>
      </w:r>
      <w:r w:rsidRPr="00F371C8">
        <w:t xml:space="preserve"> </w:t>
      </w:r>
      <w:r w:rsidR="00F501C8" w:rsidRPr="00F371C8">
        <w:t>были использованы</w:t>
      </w:r>
      <w:r w:rsidRPr="00F371C8">
        <w:t>:</w:t>
      </w:r>
    </w:p>
    <w:p w:rsidR="005363BD" w:rsidRPr="00F371C8" w:rsidRDefault="00F501C8" w:rsidP="00AC53B5">
      <w:pPr>
        <w:pStyle w:val="ad"/>
      </w:pPr>
      <w:r w:rsidRPr="00F371C8">
        <w:t>У</w:t>
      </w:r>
      <w:r w:rsidR="005363BD" w:rsidRPr="00F371C8">
        <w:t>чебники и учебные пособия по заданной тематике;</w:t>
      </w:r>
    </w:p>
    <w:p w:rsidR="005363BD" w:rsidRPr="00F371C8" w:rsidRDefault="005363BD" w:rsidP="00AC53B5">
      <w:pPr>
        <w:pStyle w:val="ad"/>
      </w:pPr>
      <w:r w:rsidRPr="00F371C8">
        <w:t>Статистические данные за 200</w:t>
      </w:r>
      <w:r w:rsidR="003E5E76" w:rsidRPr="00F371C8">
        <w:t>5</w:t>
      </w:r>
      <w:r w:rsidRPr="00F371C8">
        <w:t>-200</w:t>
      </w:r>
      <w:r w:rsidR="003E5E76" w:rsidRPr="00F371C8">
        <w:t>8</w:t>
      </w:r>
      <w:r w:rsidRPr="00F371C8">
        <w:t xml:space="preserve"> гг</w:t>
      </w:r>
      <w:r w:rsidR="002D183D" w:rsidRPr="00F371C8">
        <w:t xml:space="preserve"> </w:t>
      </w:r>
      <w:r w:rsidR="003E5E76" w:rsidRPr="00F371C8">
        <w:t>Евростата</w:t>
      </w:r>
      <w:r w:rsidRPr="00F371C8">
        <w:t>;</w:t>
      </w:r>
    </w:p>
    <w:p w:rsidR="005363BD" w:rsidRPr="00F371C8" w:rsidRDefault="00F501C8" w:rsidP="00AC53B5">
      <w:pPr>
        <w:pStyle w:val="ad"/>
      </w:pPr>
      <w:r w:rsidRPr="00F371C8">
        <w:t>А</w:t>
      </w:r>
      <w:r w:rsidR="005363BD" w:rsidRPr="00F371C8">
        <w:t>кту</w:t>
      </w:r>
      <w:r w:rsidR="003E5E76" w:rsidRPr="00F371C8">
        <w:t>альн</w:t>
      </w:r>
      <w:r w:rsidRPr="00F371C8">
        <w:t>ая</w:t>
      </w:r>
      <w:r w:rsidR="003E5E76" w:rsidRPr="00F371C8">
        <w:t xml:space="preserve"> периодическ</w:t>
      </w:r>
      <w:r w:rsidRPr="00F371C8">
        <w:t>ая</w:t>
      </w:r>
      <w:r w:rsidR="003E5E76" w:rsidRPr="00F371C8">
        <w:t xml:space="preserve"> литератур</w:t>
      </w:r>
      <w:r w:rsidRPr="00F371C8">
        <w:t>а</w:t>
      </w:r>
      <w:r w:rsidR="003E5E76" w:rsidRPr="00F371C8">
        <w:t>.</w:t>
      </w:r>
    </w:p>
    <w:p w:rsidR="00A619D5" w:rsidRPr="00F371C8" w:rsidRDefault="00AC0C87" w:rsidP="00AC53B5">
      <w:pPr>
        <w:pStyle w:val="ad"/>
      </w:pPr>
      <w:bookmarkStart w:id="7" w:name="_Toc258616941"/>
      <w:r w:rsidRPr="00F371C8">
        <w:br w:type="page"/>
      </w:r>
      <w:bookmarkStart w:id="8" w:name="_Toc259564162"/>
      <w:bookmarkStart w:id="9" w:name="_Toc259564212"/>
      <w:bookmarkStart w:id="10" w:name="_Toc259564337"/>
      <w:r w:rsidR="00AF14A4" w:rsidRPr="00F371C8">
        <w:t>1. Р</w:t>
      </w:r>
      <w:r w:rsidR="00FF007A" w:rsidRPr="00F371C8">
        <w:t>оберт Манделл «Теория оптимальных валютных зон»</w:t>
      </w:r>
      <w:bookmarkEnd w:id="7"/>
      <w:bookmarkEnd w:id="8"/>
      <w:bookmarkEnd w:id="9"/>
      <w:bookmarkEnd w:id="10"/>
    </w:p>
    <w:p w:rsidR="00C14BE2" w:rsidRPr="00F371C8" w:rsidRDefault="00C14BE2" w:rsidP="00AC53B5">
      <w:pPr>
        <w:pStyle w:val="ad"/>
      </w:pPr>
    </w:p>
    <w:p w:rsidR="00F02169" w:rsidRPr="00F371C8" w:rsidRDefault="0065433B" w:rsidP="00AC53B5">
      <w:pPr>
        <w:pStyle w:val="ad"/>
      </w:pPr>
      <w:r w:rsidRPr="00F371C8">
        <w:t xml:space="preserve">В </w:t>
      </w:r>
      <w:r w:rsidR="00AB559C" w:rsidRPr="00F371C8">
        <w:t xml:space="preserve">октябре </w:t>
      </w:r>
      <w:r w:rsidRPr="00F371C8">
        <w:t>1999 год</w:t>
      </w:r>
      <w:r w:rsidR="00AB559C" w:rsidRPr="00F371C8">
        <w:t>а</w:t>
      </w:r>
      <w:r w:rsidRPr="00F371C8">
        <w:t xml:space="preserve"> </w:t>
      </w:r>
      <w:r w:rsidR="00AB559C" w:rsidRPr="00F371C8">
        <w:t>нобелевская премия по экономике была присуждена профессору Колумбийского Университета Нью-Йорка Роберту Манделлу.</w:t>
      </w:r>
    </w:p>
    <w:p w:rsidR="00F02169" w:rsidRPr="00F371C8" w:rsidRDefault="00FF63BF" w:rsidP="00AC53B5">
      <w:pPr>
        <w:pStyle w:val="ad"/>
      </w:pPr>
      <w:r w:rsidRPr="00F371C8">
        <w:t>Как</w:t>
      </w:r>
      <w:r w:rsidR="00F02169" w:rsidRPr="00F371C8">
        <w:t xml:space="preserve"> </w:t>
      </w:r>
      <w:r w:rsidRPr="00F371C8">
        <w:t>заявила</w:t>
      </w:r>
      <w:r w:rsidR="00F02169" w:rsidRPr="00F371C8">
        <w:t xml:space="preserve"> </w:t>
      </w:r>
      <w:r w:rsidRPr="00F371C8">
        <w:t>Королевская</w:t>
      </w:r>
      <w:r w:rsidR="00F02169" w:rsidRPr="00F371C8">
        <w:t xml:space="preserve"> </w:t>
      </w:r>
      <w:r w:rsidRPr="00F371C8">
        <w:t>Шведская</w:t>
      </w:r>
      <w:r w:rsidR="00F02169" w:rsidRPr="00F371C8">
        <w:t xml:space="preserve"> </w:t>
      </w:r>
      <w:r w:rsidRPr="00F371C8">
        <w:t>Академия</w:t>
      </w:r>
      <w:r w:rsidR="00F02169" w:rsidRPr="00F371C8">
        <w:t xml:space="preserve"> </w:t>
      </w:r>
      <w:r w:rsidRPr="00F371C8">
        <w:t>Наук</w:t>
      </w:r>
    </w:p>
    <w:p w:rsidR="00AC32CB" w:rsidRPr="00F371C8" w:rsidRDefault="00845A80" w:rsidP="00AC53B5">
      <w:pPr>
        <w:pStyle w:val="ad"/>
      </w:pPr>
      <w:r w:rsidRPr="00F371C8">
        <w:t>«</w:t>
      </w:r>
      <w:r w:rsidR="00A042BE" w:rsidRPr="00F371C8">
        <w:t>И</w:t>
      </w:r>
      <w:r w:rsidR="00FF63BF" w:rsidRPr="00F371C8">
        <w:t xml:space="preserve">сследование Манделла имело такое </w:t>
      </w:r>
      <w:r w:rsidRPr="00F371C8">
        <w:t>д</w:t>
      </w:r>
      <w:r w:rsidR="00FF63BF" w:rsidRPr="00F371C8">
        <w:t>алеко идущее и продолжительное влияние в связи с</w:t>
      </w:r>
      <w:r w:rsidR="00F02169" w:rsidRPr="00F371C8">
        <w:t xml:space="preserve"> </w:t>
      </w:r>
      <w:r w:rsidR="00FF63BF" w:rsidRPr="00F371C8">
        <w:t>тем, что оно объединило формально, - но доступно, - анализ, интуитивную интерпретацию и выводы с</w:t>
      </w:r>
      <w:r w:rsidR="00F02169" w:rsidRPr="00F371C8">
        <w:t xml:space="preserve"> </w:t>
      </w:r>
      <w:r w:rsidR="00FF63BF" w:rsidRPr="00F371C8">
        <w:t>практикой экономической политики. Манделл добился решения проблем с необычной, почти пророческой точностью с точки зрения</w:t>
      </w:r>
      <w:r w:rsidR="00F02169" w:rsidRPr="00F371C8">
        <w:t xml:space="preserve"> </w:t>
      </w:r>
      <w:r w:rsidR="00FF63BF" w:rsidRPr="00F371C8">
        <w:t>предсказания будущего развития м</w:t>
      </w:r>
      <w:r w:rsidRPr="00F371C8">
        <w:t>еждународной</w:t>
      </w:r>
      <w:r w:rsidR="00F02169" w:rsidRPr="00F371C8">
        <w:t xml:space="preserve"> </w:t>
      </w:r>
      <w:r w:rsidRPr="00F371C8">
        <w:t xml:space="preserve">валютной системы </w:t>
      </w:r>
      <w:r w:rsidR="00FF63BF" w:rsidRPr="00F371C8">
        <w:t>рынков капитала. Вклад</w:t>
      </w:r>
      <w:r w:rsidR="00F02169" w:rsidRPr="00F371C8">
        <w:t xml:space="preserve"> </w:t>
      </w:r>
      <w:r w:rsidR="00FF63BF" w:rsidRPr="00F371C8">
        <w:t>Манделла в науку является превосходным напоминанием о значении теоретических исследований</w:t>
      </w:r>
      <w:r w:rsidRPr="00F371C8">
        <w:t>»</w:t>
      </w:r>
      <w:r w:rsidR="00F81FE8" w:rsidRPr="00F371C8">
        <w:t xml:space="preserve"> [3, с. 97]:</w:t>
      </w:r>
      <w:r w:rsidR="00FF63BF" w:rsidRPr="00F371C8">
        <w:t>.</w:t>
      </w:r>
    </w:p>
    <w:p w:rsidR="00AB559C" w:rsidRPr="00F371C8" w:rsidRDefault="00AB559C" w:rsidP="00AC53B5">
      <w:pPr>
        <w:pStyle w:val="ad"/>
      </w:pPr>
      <w:r w:rsidRPr="00F371C8">
        <w:t xml:space="preserve">Выбор Шведской Королевской Академии Наук не был случайным. В том же 1999 году произошло долгожданное образование Европейского экономического союза. </w:t>
      </w:r>
      <w:r w:rsidR="00A042BE" w:rsidRPr="00F371C8">
        <w:t>Это</w:t>
      </w:r>
      <w:r w:rsidR="00F02169" w:rsidRPr="00F371C8">
        <w:t xml:space="preserve"> </w:t>
      </w:r>
      <w:r w:rsidR="00A042BE" w:rsidRPr="00F371C8">
        <w:t>предопределило</w:t>
      </w:r>
      <w:r w:rsidR="00F02169" w:rsidRPr="00F371C8">
        <w:t xml:space="preserve"> </w:t>
      </w:r>
      <w:r w:rsidR="00A042BE" w:rsidRPr="00F371C8">
        <w:t>выбор академиков.</w:t>
      </w:r>
      <w:r w:rsidR="00F02169" w:rsidRPr="00F371C8">
        <w:t xml:space="preserve"> </w:t>
      </w:r>
      <w:r w:rsidR="00A042BE" w:rsidRPr="00F371C8">
        <w:t>На</w:t>
      </w:r>
      <w:r w:rsidR="00F02169" w:rsidRPr="00F371C8">
        <w:t xml:space="preserve"> </w:t>
      </w:r>
      <w:r w:rsidR="00A042BE" w:rsidRPr="00F371C8">
        <w:t>протяжении</w:t>
      </w:r>
      <w:r w:rsidR="00F02169" w:rsidRPr="00F371C8">
        <w:t xml:space="preserve"> </w:t>
      </w:r>
      <w:r w:rsidR="00A042BE" w:rsidRPr="00F371C8">
        <w:t>всей</w:t>
      </w:r>
      <w:r w:rsidR="00F02169" w:rsidRPr="00F371C8">
        <w:t xml:space="preserve"> </w:t>
      </w:r>
      <w:r w:rsidR="00A042BE" w:rsidRPr="00F371C8">
        <w:t>своей профессиональной</w:t>
      </w:r>
      <w:r w:rsidR="00F02169" w:rsidRPr="00F371C8">
        <w:t xml:space="preserve"> </w:t>
      </w:r>
      <w:r w:rsidR="00A042BE" w:rsidRPr="00F371C8">
        <w:t>деятельности</w:t>
      </w:r>
      <w:r w:rsidR="00F02169" w:rsidRPr="00F371C8">
        <w:t xml:space="preserve"> </w:t>
      </w:r>
      <w:r w:rsidR="00A042BE" w:rsidRPr="00F371C8">
        <w:t>Роберт</w:t>
      </w:r>
      <w:r w:rsidR="00F02169" w:rsidRPr="00F371C8">
        <w:t xml:space="preserve"> </w:t>
      </w:r>
      <w:r w:rsidR="00A042BE" w:rsidRPr="00F371C8">
        <w:t>Манделл</w:t>
      </w:r>
      <w:r w:rsidR="00F02169" w:rsidRPr="00F371C8">
        <w:t xml:space="preserve"> </w:t>
      </w:r>
      <w:r w:rsidR="00A042BE" w:rsidRPr="00F371C8">
        <w:t>выступал консультантом многих международных агентств и организаций, включая ООН,</w:t>
      </w:r>
      <w:r w:rsidR="00F02169" w:rsidRPr="00F371C8">
        <w:t xml:space="preserve"> </w:t>
      </w:r>
      <w:r w:rsidR="00A042BE" w:rsidRPr="00F371C8">
        <w:t>МВФ, Всемирный Банк,</w:t>
      </w:r>
      <w:r w:rsidR="00F02169" w:rsidRPr="00F371C8">
        <w:t xml:space="preserve"> </w:t>
      </w:r>
      <w:r w:rsidR="00A042BE" w:rsidRPr="00F371C8">
        <w:t>Европейскую</w:t>
      </w:r>
      <w:r w:rsidR="00F02169" w:rsidRPr="00F371C8">
        <w:t xml:space="preserve"> </w:t>
      </w:r>
      <w:r w:rsidR="00A042BE" w:rsidRPr="00F371C8">
        <w:t>Комиссию,</w:t>
      </w:r>
      <w:r w:rsidR="00F02169" w:rsidRPr="00F371C8">
        <w:t xml:space="preserve"> </w:t>
      </w:r>
      <w:r w:rsidR="00A042BE" w:rsidRPr="00F371C8">
        <w:t>ряд правительств</w:t>
      </w:r>
      <w:r w:rsidR="00F02169" w:rsidRPr="00F371C8">
        <w:t xml:space="preserve"> </w:t>
      </w:r>
      <w:r w:rsidR="00A042BE" w:rsidRPr="00F371C8">
        <w:t>Латинской</w:t>
      </w:r>
      <w:r w:rsidR="00F02169" w:rsidRPr="00F371C8">
        <w:t xml:space="preserve"> </w:t>
      </w:r>
      <w:r w:rsidR="00A042BE" w:rsidRPr="00F371C8">
        <w:t>Америки и</w:t>
      </w:r>
      <w:r w:rsidR="00F02169" w:rsidRPr="00F371C8">
        <w:t xml:space="preserve"> </w:t>
      </w:r>
      <w:r w:rsidR="00A042BE" w:rsidRPr="00F371C8">
        <w:t>Европы, Правление</w:t>
      </w:r>
      <w:r w:rsidR="00F02169" w:rsidRPr="00F371C8">
        <w:t xml:space="preserve"> </w:t>
      </w:r>
      <w:r w:rsidR="00A042BE" w:rsidRPr="00F371C8">
        <w:t>ФРС, Казначейство</w:t>
      </w:r>
      <w:r w:rsidR="00845A80" w:rsidRPr="00F371C8">
        <w:t xml:space="preserve"> США и правительство</w:t>
      </w:r>
      <w:r w:rsidR="00A042BE" w:rsidRPr="00F371C8">
        <w:t xml:space="preserve"> Канады. Однако наибольшее внимание Манделл</w:t>
      </w:r>
      <w:r w:rsidR="00F02169" w:rsidRPr="00F371C8">
        <w:t xml:space="preserve"> </w:t>
      </w:r>
      <w:r w:rsidR="00A042BE" w:rsidRPr="00F371C8">
        <w:t>уделил</w:t>
      </w:r>
      <w:r w:rsidR="00F02169" w:rsidRPr="00F371C8">
        <w:t xml:space="preserve"> </w:t>
      </w:r>
      <w:r w:rsidR="00A042BE" w:rsidRPr="00F371C8">
        <w:t>единой европейской валюте и международной валютной системе.</w:t>
      </w:r>
    </w:p>
    <w:p w:rsidR="00DC3A53" w:rsidRPr="00F371C8" w:rsidRDefault="00AB559C" w:rsidP="00AC53B5">
      <w:pPr>
        <w:pStyle w:val="ad"/>
      </w:pPr>
      <w:r w:rsidRPr="00F371C8">
        <w:t>Несомненной заслугой Роберта Манделла стала подготовка одного из первых проектов единой валюты в Европе. И все же, Роберт Манделл</w:t>
      </w:r>
      <w:r w:rsidR="00F02169" w:rsidRPr="00F371C8">
        <w:t xml:space="preserve"> </w:t>
      </w:r>
      <w:r w:rsidRPr="00F371C8">
        <w:t>известен как основоположник «Теории оптимальных валютных зон». Позднее эту теорию стали развивать и укреплять другие экономисты.</w:t>
      </w:r>
      <w:r w:rsidR="00DC3A53" w:rsidRPr="00F371C8">
        <w:t xml:space="preserve"> Но она стала и объектом критики.</w:t>
      </w:r>
    </w:p>
    <w:p w:rsidR="00DC3A53" w:rsidRPr="00F371C8" w:rsidRDefault="007A58EC" w:rsidP="00AC53B5">
      <w:pPr>
        <w:pStyle w:val="ad"/>
      </w:pPr>
      <w:r w:rsidRPr="00F371C8">
        <w:t>Эта теория сразу после ее создания легла в основу рационального выбора политики валютного</w:t>
      </w:r>
      <w:r w:rsidR="00F02169" w:rsidRPr="00F371C8">
        <w:t xml:space="preserve"> </w:t>
      </w:r>
      <w:r w:rsidRPr="00F371C8">
        <w:t>курса. В дальнейшем теория</w:t>
      </w:r>
      <w:r w:rsidR="00F02169" w:rsidRPr="00F371C8">
        <w:t xml:space="preserve"> </w:t>
      </w:r>
      <w:r w:rsidRPr="00F371C8">
        <w:t xml:space="preserve">оптимальных валютных зон стала играть значительную роль в анализе денежно-кредитной политики в целом, а также взаимодействия монетарной и фискальной политики. </w:t>
      </w:r>
      <w:r w:rsidR="00DC3A53" w:rsidRPr="00F371C8">
        <w:t>В настоящее время теория Манделла используется при анализе экономической политики г</w:t>
      </w:r>
      <w:r w:rsidR="001B5620" w:rsidRPr="00F371C8">
        <w:t>осударства, валютной интеграции,</w:t>
      </w:r>
      <w:r w:rsidR="00DC3A53" w:rsidRPr="00F371C8">
        <w:t xml:space="preserve"> создании валютных союзов и организаций международной валютной системы. На западе его теория переросла в новую экономическую теорию – Монетаристскую экономику.</w:t>
      </w:r>
    </w:p>
    <w:p w:rsidR="00DC3A53" w:rsidRPr="00F371C8" w:rsidRDefault="00DC3A53" w:rsidP="00AC53B5">
      <w:pPr>
        <w:pStyle w:val="ad"/>
      </w:pPr>
      <w:r w:rsidRPr="00F371C8">
        <w:t>Современное звучание этой теории таково:</w:t>
      </w:r>
    </w:p>
    <w:p w:rsidR="00F02169" w:rsidRPr="00F371C8" w:rsidRDefault="00DC3A53" w:rsidP="00AC53B5">
      <w:pPr>
        <w:pStyle w:val="ad"/>
      </w:pPr>
      <w:r w:rsidRPr="00F371C8">
        <w:t xml:space="preserve">Валютная </w:t>
      </w:r>
      <w:r w:rsidR="00725A13" w:rsidRPr="00F371C8">
        <w:t>зона (система)</w:t>
      </w:r>
      <w:r w:rsidRPr="00F371C8">
        <w:t xml:space="preserve"> представляет собой группу из двух и более суверенных государств с закрытыми денежными связями. Закрытые денежные связи могут произойти из трех форм интеграции</w:t>
      </w:r>
      <w:r w:rsidR="00482BB7" w:rsidRPr="00F371C8">
        <w:t xml:space="preserve">. </w:t>
      </w:r>
      <w:r w:rsidR="00725A13" w:rsidRPr="00F371C8">
        <w:t xml:space="preserve">В </w:t>
      </w:r>
      <w:r w:rsidR="007755F2" w:rsidRPr="00F371C8">
        <w:t>приложении</w:t>
      </w:r>
      <w:r w:rsidR="00725A13" w:rsidRPr="00F371C8">
        <w:t xml:space="preserve"> 1 приведены формы интеграции, образующие валютную зону. </w:t>
      </w:r>
      <w:r w:rsidR="0005410A" w:rsidRPr="00F371C8">
        <w:t xml:space="preserve">Валютная </w:t>
      </w:r>
      <w:r w:rsidR="00725A13" w:rsidRPr="00F371C8">
        <w:t>зона (</w:t>
      </w:r>
      <w:r w:rsidR="0005410A" w:rsidRPr="00F371C8">
        <w:t>система</w:t>
      </w:r>
      <w:r w:rsidR="00725A13" w:rsidRPr="00F371C8">
        <w:t>)</w:t>
      </w:r>
      <w:r w:rsidR="0005410A" w:rsidRPr="00F371C8">
        <w:t xml:space="preserve"> может возникнуть как на основе одной из форм интеграции, так и на основании слияния этих форм в различной комбинации.</w:t>
      </w:r>
    </w:p>
    <w:p w:rsidR="00F02169" w:rsidRPr="00F371C8" w:rsidRDefault="00052287" w:rsidP="00AC53B5">
      <w:pPr>
        <w:pStyle w:val="ad"/>
      </w:pPr>
      <w:r w:rsidRPr="00F371C8">
        <w:t>Оптимальность создания таких союзов рассматривается экономистами, как возможность поддержания в открытой экономике возможности внутреннего и внешнего равновесия.</w:t>
      </w:r>
    </w:p>
    <w:p w:rsidR="00052287" w:rsidRPr="00F371C8" w:rsidRDefault="00052287" w:rsidP="00AC53B5">
      <w:pPr>
        <w:pStyle w:val="ad"/>
      </w:pPr>
      <w:r w:rsidRPr="00F371C8">
        <w:t>Внутреннее равновесие заключается в поддержании макроэкономических показателей занятости населения и стабильности уровня цен</w:t>
      </w:r>
      <w:r w:rsidR="00084229" w:rsidRPr="00F371C8">
        <w:t xml:space="preserve"> в отдельно взятом государстве</w:t>
      </w:r>
      <w:r w:rsidRPr="00F371C8">
        <w:t>.</w:t>
      </w:r>
    </w:p>
    <w:p w:rsidR="00052287" w:rsidRPr="00F371C8" w:rsidRDefault="00052287" w:rsidP="00AC53B5">
      <w:pPr>
        <w:pStyle w:val="ad"/>
      </w:pPr>
      <w:r w:rsidRPr="00F371C8">
        <w:t>Внешнее равновесие заключается в проведении такой внешней денежно-кредитной политики</w:t>
      </w:r>
      <w:r w:rsidR="00084229" w:rsidRPr="00F371C8">
        <w:t xml:space="preserve"> отдельно взятого</w:t>
      </w:r>
      <w:r w:rsidR="003427B4" w:rsidRPr="00F371C8">
        <w:t xml:space="preserve"> государства-участника</w:t>
      </w:r>
      <w:r w:rsidRPr="00F371C8">
        <w:t>, которая</w:t>
      </w:r>
      <w:r w:rsidR="00F02169" w:rsidRPr="00F371C8">
        <w:t xml:space="preserve"> </w:t>
      </w:r>
      <w:r w:rsidR="00084229" w:rsidRPr="00F371C8">
        <w:t xml:space="preserve">не поставила бы под угрозу экономических проблем других участников валютного союза. </w:t>
      </w:r>
      <w:r w:rsidR="003427B4" w:rsidRPr="00F371C8">
        <w:t>Не создавать ситуаций, ведущих к возникновению внешнего экономического долга.</w:t>
      </w:r>
    </w:p>
    <w:p w:rsidR="00A500A9" w:rsidRPr="00F371C8" w:rsidRDefault="00A500A9" w:rsidP="00AC53B5">
      <w:pPr>
        <w:pStyle w:val="ad"/>
      </w:pPr>
      <w:r w:rsidRPr="00F371C8">
        <w:t xml:space="preserve">Истории известно множество валютных союзов. </w:t>
      </w:r>
      <w:r w:rsidR="002A3300" w:rsidRPr="00F371C8">
        <w:t>Самой молодой валютной системой является Европейская валютная система (ЕВС).</w:t>
      </w:r>
    </w:p>
    <w:p w:rsidR="0065412E" w:rsidRPr="00F371C8" w:rsidRDefault="0065412E" w:rsidP="00AC53B5">
      <w:pPr>
        <w:pStyle w:val="ad"/>
      </w:pPr>
    </w:p>
    <w:p w:rsidR="001660F7" w:rsidRPr="00F371C8" w:rsidRDefault="003D22FD" w:rsidP="00AC53B5">
      <w:pPr>
        <w:pStyle w:val="ad"/>
      </w:pPr>
      <w:r w:rsidRPr="00F371C8">
        <w:br w:type="page"/>
      </w:r>
      <w:bookmarkStart w:id="11" w:name="_Toc259564163"/>
      <w:bookmarkStart w:id="12" w:name="_Toc259564213"/>
      <w:bookmarkStart w:id="13" w:name="_Toc259564338"/>
      <w:r w:rsidR="001660F7" w:rsidRPr="00F371C8">
        <w:t xml:space="preserve">2. </w:t>
      </w:r>
      <w:r w:rsidR="00FF007A" w:rsidRPr="00F371C8">
        <w:t>Европейская валютная система</w:t>
      </w:r>
      <w:r w:rsidR="00112EAC" w:rsidRPr="00F371C8">
        <w:t>.</w:t>
      </w:r>
      <w:r w:rsidR="00AC53B5" w:rsidRPr="00F371C8">
        <w:t xml:space="preserve"> </w:t>
      </w:r>
      <w:r w:rsidR="00FF007A" w:rsidRPr="00F371C8">
        <w:t>Процесс становления</w:t>
      </w:r>
      <w:r w:rsidR="002A3300" w:rsidRPr="00F371C8">
        <w:t>:</w:t>
      </w:r>
      <w:r w:rsidR="00E4621D" w:rsidRPr="00F371C8">
        <w:t xml:space="preserve"> </w:t>
      </w:r>
      <w:r w:rsidR="00FF007A" w:rsidRPr="00F371C8">
        <w:t>от валютного союза к единой валюте</w:t>
      </w:r>
      <w:bookmarkEnd w:id="11"/>
      <w:bookmarkEnd w:id="12"/>
      <w:bookmarkEnd w:id="13"/>
    </w:p>
    <w:p w:rsidR="009127EC" w:rsidRPr="00F371C8" w:rsidRDefault="009127EC" w:rsidP="00AC53B5">
      <w:pPr>
        <w:pStyle w:val="ad"/>
      </w:pPr>
    </w:p>
    <w:p w:rsidR="00857DA6" w:rsidRPr="00F371C8" w:rsidRDefault="00D03E0A" w:rsidP="00AC53B5">
      <w:pPr>
        <w:pStyle w:val="ad"/>
      </w:pPr>
      <w:r w:rsidRPr="00F371C8">
        <w:t xml:space="preserve">История возникновения Европейской валютной системы ведет свое начало с </w:t>
      </w:r>
      <w:r w:rsidR="001D18F7" w:rsidRPr="00F371C8">
        <w:t xml:space="preserve">момента </w:t>
      </w:r>
      <w:r w:rsidRPr="00F371C8">
        <w:t>окончани</w:t>
      </w:r>
      <w:r w:rsidR="001D18F7" w:rsidRPr="00F371C8">
        <w:t>я</w:t>
      </w:r>
      <w:r w:rsidRPr="00F371C8">
        <w:t xml:space="preserve"> Первой Мировой Войны. Страны Европы оказались в плачевном состоянии: разрушено производст</w:t>
      </w:r>
      <w:r w:rsidR="001D18F7" w:rsidRPr="00F371C8">
        <w:t>во, разрушены экономические связи.</w:t>
      </w:r>
      <w:r w:rsidR="00DF1D9F" w:rsidRPr="00F371C8">
        <w:t xml:space="preserve"> </w:t>
      </w:r>
      <w:r w:rsidR="0069548E" w:rsidRPr="00F371C8">
        <w:t xml:space="preserve">(В приложении </w:t>
      </w:r>
      <w:r w:rsidR="00F85F76" w:rsidRPr="00F371C8">
        <w:t>2</w:t>
      </w:r>
      <w:r w:rsidR="0069548E" w:rsidRPr="00F371C8">
        <w:t xml:space="preserve"> приведены основные хронологические события, связанные с образованием и развитием ЕС.)</w:t>
      </w:r>
    </w:p>
    <w:p w:rsidR="00F02169" w:rsidRPr="00F371C8" w:rsidRDefault="001D18F7" w:rsidP="00AC53B5">
      <w:pPr>
        <w:pStyle w:val="ad"/>
      </w:pPr>
      <w:r w:rsidRPr="00F371C8">
        <w:t>9 мая 1950 года Роберт</w:t>
      </w:r>
      <w:r w:rsidR="009127EC" w:rsidRPr="00F371C8">
        <w:t xml:space="preserve"> Шуман</w:t>
      </w:r>
      <w:r w:rsidRPr="00F371C8">
        <w:t xml:space="preserve">, </w:t>
      </w:r>
      <w:r w:rsidR="009127EC" w:rsidRPr="00F371C8">
        <w:t>министр</w:t>
      </w:r>
      <w:r w:rsidRPr="00F371C8">
        <w:t xml:space="preserve"> иностранных дел Франции, выдвинул идею объединения угольной</w:t>
      </w:r>
      <w:r w:rsidR="00F02169" w:rsidRPr="00F371C8">
        <w:t xml:space="preserve"> </w:t>
      </w:r>
      <w:r w:rsidRPr="00F371C8">
        <w:t>и сталелитейной промышленности Франции и Федеративной Республики Германии (ФРГ).</w:t>
      </w:r>
    </w:p>
    <w:p w:rsidR="001D18F7" w:rsidRPr="00F371C8" w:rsidRDefault="001D18F7" w:rsidP="00AC53B5">
      <w:pPr>
        <w:pStyle w:val="ad"/>
      </w:pPr>
      <w:r w:rsidRPr="00F371C8">
        <w:t xml:space="preserve">Эта идея была реализована в 1951 году Парижском </w:t>
      </w:r>
      <w:r w:rsidR="00010316" w:rsidRPr="00F371C8">
        <w:t>д</w:t>
      </w:r>
      <w:r w:rsidRPr="00F371C8">
        <w:t>оговором, установившим Европейское сообщество угля и стали с шестью странами-членами: Бельгия, Франция, Германия, Италия, Люксембург и Нидерланды.</w:t>
      </w:r>
    </w:p>
    <w:p w:rsidR="00F02169" w:rsidRPr="00F371C8" w:rsidRDefault="001D18F7" w:rsidP="00AC53B5">
      <w:pPr>
        <w:pStyle w:val="ad"/>
      </w:pPr>
      <w:r w:rsidRPr="00F371C8">
        <w:t xml:space="preserve">Успех Парижского </w:t>
      </w:r>
      <w:r w:rsidR="00010316" w:rsidRPr="00F371C8">
        <w:t>д</w:t>
      </w:r>
      <w:r w:rsidRPr="00F371C8">
        <w:t>оговора воодушевил эти шесть стран расширить процесс на другие сферы.</w:t>
      </w:r>
    </w:p>
    <w:p w:rsidR="001D18F7" w:rsidRPr="00F371C8" w:rsidRDefault="001D18F7" w:rsidP="00AC53B5">
      <w:pPr>
        <w:pStyle w:val="ad"/>
      </w:pPr>
      <w:r w:rsidRPr="00F371C8">
        <w:t xml:space="preserve">В 1957 году Римский </w:t>
      </w:r>
      <w:r w:rsidR="00010316" w:rsidRPr="00F371C8">
        <w:t>д</w:t>
      </w:r>
      <w:r w:rsidRPr="00F371C8">
        <w:t>оговор учредил</w:t>
      </w:r>
    </w:p>
    <w:p w:rsidR="001D18F7" w:rsidRPr="00F371C8" w:rsidRDefault="001D18F7" w:rsidP="00AC53B5">
      <w:pPr>
        <w:pStyle w:val="ad"/>
      </w:pPr>
      <w:r w:rsidRPr="00F371C8">
        <w:t xml:space="preserve">Европейское экономическое сообщество </w:t>
      </w:r>
      <w:r w:rsidR="00010316" w:rsidRPr="00F371C8">
        <w:t xml:space="preserve">(ЕЭС) </w:t>
      </w:r>
      <w:r w:rsidRPr="00F371C8">
        <w:t xml:space="preserve">направленного на создание таможенного союза и </w:t>
      </w:r>
      <w:r w:rsidR="00AD6BD6" w:rsidRPr="00F371C8">
        <w:t xml:space="preserve">снятие </w:t>
      </w:r>
      <w:r w:rsidRPr="00F371C8">
        <w:t xml:space="preserve">торговых </w:t>
      </w:r>
      <w:r w:rsidR="00AD6BD6" w:rsidRPr="00F371C8">
        <w:t>ограничений</w:t>
      </w:r>
      <w:r w:rsidRPr="00F371C8">
        <w:t xml:space="preserve"> внутри Сообщества</w:t>
      </w:r>
      <w:r w:rsidR="00AD6BD6" w:rsidRPr="00F371C8">
        <w:t>;</w:t>
      </w:r>
    </w:p>
    <w:p w:rsidR="00F02169" w:rsidRPr="00F371C8" w:rsidRDefault="001D18F7" w:rsidP="00AC53B5">
      <w:pPr>
        <w:pStyle w:val="ad"/>
      </w:pPr>
      <w:r w:rsidRPr="00F371C8">
        <w:t>Европейское</w:t>
      </w:r>
      <w:r w:rsidR="00AD6BD6" w:rsidRPr="00F371C8">
        <w:t xml:space="preserve"> сообщество по атомной энергии </w:t>
      </w:r>
      <w:r w:rsidR="009127EC" w:rsidRPr="00F371C8">
        <w:t xml:space="preserve">для </w:t>
      </w:r>
      <w:r w:rsidRPr="00F371C8">
        <w:t>развити</w:t>
      </w:r>
      <w:r w:rsidR="009127EC" w:rsidRPr="00F371C8">
        <w:t>я</w:t>
      </w:r>
      <w:r w:rsidRPr="00F371C8">
        <w:t xml:space="preserve"> ядерной энергии в мирных целях.</w:t>
      </w:r>
    </w:p>
    <w:p w:rsidR="00857DA6" w:rsidRPr="00F371C8" w:rsidRDefault="001D18F7" w:rsidP="00AC53B5">
      <w:pPr>
        <w:pStyle w:val="ad"/>
      </w:pPr>
      <w:r w:rsidRPr="00F371C8">
        <w:t>В 1967 году произошло слияние исполнительных органов трех Сообществ</w:t>
      </w:r>
      <w:r w:rsidR="00AA4B26" w:rsidRPr="00F371C8">
        <w:t xml:space="preserve"> и образование единых исполнительных органов Европейской Комиссии,</w:t>
      </w:r>
      <w:r w:rsidR="00DF1D9F" w:rsidRPr="00F371C8">
        <w:t xml:space="preserve"> Европейского</w:t>
      </w:r>
      <w:r w:rsidR="00AA4B26" w:rsidRPr="00F371C8">
        <w:t xml:space="preserve"> Совета, </w:t>
      </w:r>
      <w:r w:rsidR="00DF1D9F" w:rsidRPr="00F371C8">
        <w:t xml:space="preserve">Европейского </w:t>
      </w:r>
      <w:r w:rsidR="00AA4B26" w:rsidRPr="00F371C8">
        <w:t>Парламента и</w:t>
      </w:r>
      <w:r w:rsidR="00DF1D9F" w:rsidRPr="00F371C8">
        <w:t xml:space="preserve"> Европейского</w:t>
      </w:r>
      <w:r w:rsidR="00AA4B26" w:rsidRPr="00F371C8">
        <w:t xml:space="preserve"> Суда. В</w:t>
      </w:r>
      <w:r w:rsidRPr="00F371C8">
        <w:t xml:space="preserve"> результате </w:t>
      </w:r>
      <w:r w:rsidR="00AA4B26" w:rsidRPr="00F371C8">
        <w:t>этого слияния</w:t>
      </w:r>
      <w:r w:rsidRPr="00F371C8">
        <w:t xml:space="preserve"> была создана базовая структура</w:t>
      </w:r>
      <w:r w:rsidR="00AA4B26" w:rsidRPr="00F371C8">
        <w:t xml:space="preserve"> Европейского сообщества (ЕС)</w:t>
      </w:r>
      <w:r w:rsidRPr="00F371C8">
        <w:t>.</w:t>
      </w:r>
    </w:p>
    <w:p w:rsidR="00DB5424" w:rsidRPr="00F371C8" w:rsidRDefault="00DB5424" w:rsidP="00AC53B5">
      <w:pPr>
        <w:pStyle w:val="ad"/>
      </w:pPr>
      <w:r w:rsidRPr="00F371C8">
        <w:t xml:space="preserve">В 1971 году Совет министров ЕЭС принял «план Вернера», рассчитанный на 10 лет. Премьер-министр Люксембурга Пьер Вернер предложил ввести полную взаимную обратимость валют, обеспечить свободу передвижения капиталов, объединить все официальные золотовалютные резервы при помощи Фонда валютного сотрудничества, твердо зафиксировать валютные курсы </w:t>
      </w:r>
      <w:r w:rsidR="00423B2D" w:rsidRPr="00F371C8">
        <w:t>«</w:t>
      </w:r>
      <w:r w:rsidRPr="00F371C8">
        <w:t>и, возможно, перейти к единой валюте</w:t>
      </w:r>
      <w:r w:rsidR="00D427DA" w:rsidRPr="00F371C8">
        <w:t>».</w:t>
      </w:r>
    </w:p>
    <w:p w:rsidR="00F02169" w:rsidRPr="00F371C8" w:rsidRDefault="00BD2FC7" w:rsidP="00AC53B5">
      <w:pPr>
        <w:pStyle w:val="ad"/>
      </w:pPr>
      <w:r w:rsidRPr="00F371C8">
        <w:t>В</w:t>
      </w:r>
      <w:r w:rsidR="00DF1D9F" w:rsidRPr="00F371C8">
        <w:t xml:space="preserve"> </w:t>
      </w:r>
      <w:smartTag w:uri="urn:schemas-microsoft-com:office:smarttags" w:element="metricconverter">
        <w:smartTagPr>
          <w:attr w:name="ProductID" w:val="1979 г"/>
        </w:smartTagPr>
        <w:r w:rsidR="00DF1D9F" w:rsidRPr="00F371C8">
          <w:t>1979 г</w:t>
        </w:r>
      </w:smartTag>
      <w:r w:rsidR="00DF1D9F" w:rsidRPr="00F371C8">
        <w:t xml:space="preserve">. </w:t>
      </w:r>
      <w:r w:rsidR="00D427DA" w:rsidRPr="00F371C8">
        <w:t xml:space="preserve">в </w:t>
      </w:r>
      <w:r w:rsidR="00DF1D9F" w:rsidRPr="00F371C8">
        <w:t>ЕЭС была создана собственная международная (региональная) валютная система - Европейская валютная система (ЕВС) - в целях стимулирования процесса экономической интеграции. ЕВС базировал</w:t>
      </w:r>
      <w:r w:rsidR="00D427DA" w:rsidRPr="00F371C8">
        <w:t>ся</w:t>
      </w:r>
      <w:r w:rsidR="00DF1D9F" w:rsidRPr="00F371C8">
        <w:t xml:space="preserve"> на ЭКЮ - европейской валютной единице.</w:t>
      </w:r>
      <w:r w:rsidR="00F02169" w:rsidRPr="00F371C8">
        <w:t xml:space="preserve"> </w:t>
      </w:r>
      <w:r w:rsidRPr="00F371C8">
        <w:t>ЭКЮ заменила использовавшуюся с 1975 года странами ЕЭС европейскую расчетную единицу – ЕРЕ. От ЕРЕ новая расчетная единица ЭКЮ унаследовала построение - по принципу «стандартной корзины». Удельный вес каждой национальной денежной единицы в валютном коктейле завис</w:t>
      </w:r>
      <w:r w:rsidR="000D523C" w:rsidRPr="00F371C8">
        <w:t>ела</w:t>
      </w:r>
      <w:r w:rsidRPr="00F371C8">
        <w:t xml:space="preserve"> от доли валового внутреннего</w:t>
      </w:r>
      <w:r w:rsidR="00894F10" w:rsidRPr="00F371C8">
        <w:t xml:space="preserve"> </w:t>
      </w:r>
      <w:r w:rsidRPr="00F371C8">
        <w:t>продукта страны в совокупном ВВП ЕЭС.</w:t>
      </w:r>
      <w:r w:rsidR="000D523C" w:rsidRPr="00F371C8">
        <w:t xml:space="preserve"> Исходя из этого, рассчитывались размеры составляющих ЭКЮ компонентов в абсолютном выражении. В связи с изменениями рыночных курсов валют доля каждой из них в процентном выражении постоянно менялас</w:t>
      </w:r>
      <w:r w:rsidR="00A3173D" w:rsidRPr="00F371C8">
        <w:t>ь</w:t>
      </w:r>
      <w:r w:rsidR="000D523C" w:rsidRPr="00F371C8">
        <w:t>. В таблице 3 приведена статистика расчета ЭКЮ.</w:t>
      </w:r>
    </w:p>
    <w:p w:rsidR="008B0DAF" w:rsidRPr="00F371C8" w:rsidRDefault="008B0DAF" w:rsidP="00AC53B5">
      <w:pPr>
        <w:pStyle w:val="ad"/>
      </w:pPr>
    </w:p>
    <w:p w:rsidR="000D523C" w:rsidRPr="00F371C8" w:rsidRDefault="000D523C" w:rsidP="00AC53B5">
      <w:pPr>
        <w:pStyle w:val="ad"/>
      </w:pPr>
      <w:r w:rsidRPr="00F371C8">
        <w:t xml:space="preserve">Таблица </w:t>
      </w:r>
      <w:r w:rsidR="0081510D" w:rsidRPr="00F371C8">
        <w:t>1</w:t>
      </w:r>
      <w:r w:rsidRPr="00F371C8">
        <w:t xml:space="preserve">- Удельный вес национальных валют в ЭКЮ и курсы национальных валют стран-участниц ЕЭС </w:t>
      </w:r>
      <w:r w:rsidR="0081510D" w:rsidRPr="00F371C8">
        <w:t>[2, с.523]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"/>
        <w:gridCol w:w="5040"/>
        <w:gridCol w:w="1984"/>
      </w:tblGrid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№ п/п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Наименование валюты, входящей в ЭКЮ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Удельный вес, %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1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Немецкая марка (ФРГ)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32,7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2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Французский франк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20,8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3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Английский фунт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11,2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4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Голландский гульден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10,2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5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Итальянская лира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7,2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6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Бельгийский и люксембурский франк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8,7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7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Испанская песета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4,2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8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Датская крона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2,7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9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Ирландский фунт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1,1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10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Португальское эскудо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0,7</w:t>
            </w:r>
          </w:p>
        </w:tc>
      </w:tr>
      <w:tr w:rsidR="000D523C" w:rsidRPr="00E01C10" w:rsidTr="00E01C10">
        <w:trPr>
          <w:trHeight w:val="368"/>
        </w:trPr>
        <w:tc>
          <w:tcPr>
            <w:tcW w:w="108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11</w:t>
            </w:r>
          </w:p>
        </w:tc>
        <w:tc>
          <w:tcPr>
            <w:tcW w:w="5040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Греческая драхма</w:t>
            </w:r>
          </w:p>
        </w:tc>
        <w:tc>
          <w:tcPr>
            <w:tcW w:w="1984" w:type="dxa"/>
            <w:shd w:val="clear" w:color="auto" w:fill="auto"/>
          </w:tcPr>
          <w:p w:rsidR="000D523C" w:rsidRPr="00F371C8" w:rsidRDefault="000D523C" w:rsidP="008B0DAF">
            <w:pPr>
              <w:pStyle w:val="ae"/>
            </w:pPr>
            <w:r w:rsidRPr="00F371C8">
              <w:t>0,5</w:t>
            </w:r>
          </w:p>
        </w:tc>
      </w:tr>
    </w:tbl>
    <w:p w:rsidR="000D523C" w:rsidRPr="00F371C8" w:rsidRDefault="000F4605" w:rsidP="00AC53B5">
      <w:pPr>
        <w:pStyle w:val="ad"/>
      </w:pPr>
      <w:r>
        <w:br w:type="page"/>
      </w:r>
      <w:r w:rsidR="000D523C" w:rsidRPr="00F371C8">
        <w:t>Действующий механизм обменных курсов стран ЕЭС ограничивал изменения валют в пределах 2,25 % одна относительно другой и в диапазоне не более 15 %.</w:t>
      </w:r>
    </w:p>
    <w:p w:rsidR="00144857" w:rsidRPr="00F371C8" w:rsidRDefault="00144857" w:rsidP="00AC53B5">
      <w:pPr>
        <w:pStyle w:val="ad"/>
      </w:pPr>
      <w:r w:rsidRPr="00F371C8">
        <w:t>В решении о создании ЕВС предусматривалось, что ЭКЮ станет:</w:t>
      </w:r>
    </w:p>
    <w:p w:rsidR="00144857" w:rsidRPr="00F371C8" w:rsidRDefault="00144857" w:rsidP="00AC53B5">
      <w:pPr>
        <w:pStyle w:val="ad"/>
      </w:pPr>
      <w:r w:rsidRPr="00F371C8">
        <w:t>основой для расчетов в рамках механизма, определяющего валютные курсы;</w:t>
      </w:r>
    </w:p>
    <w:p w:rsidR="00144857" w:rsidRPr="00F371C8" w:rsidRDefault="00144857" w:rsidP="00AC53B5">
      <w:pPr>
        <w:pStyle w:val="ad"/>
      </w:pPr>
      <w:r w:rsidRPr="00F371C8">
        <w:t>основой для определения показателя отклонений курса какой-либо из денежных единиц, входящих в эту систему от среднего показателя по странам-членам ЕЭС;</w:t>
      </w:r>
    </w:p>
    <w:p w:rsidR="00144857" w:rsidRPr="00F371C8" w:rsidRDefault="00144857" w:rsidP="00AC53B5">
      <w:pPr>
        <w:pStyle w:val="ad"/>
      </w:pPr>
      <w:r w:rsidRPr="00F371C8">
        <w:t>средством осуществления валютных интервенций, заключения сделок и предоставления кредитов;</w:t>
      </w:r>
    </w:p>
    <w:p w:rsidR="00144857" w:rsidRPr="00F371C8" w:rsidRDefault="00144857" w:rsidP="00AC53B5">
      <w:pPr>
        <w:pStyle w:val="ad"/>
      </w:pPr>
      <w:r w:rsidRPr="00F371C8">
        <w:t>средством расчетов между центральными банками стран-членов, а также между валютными органами ЕЭС;</w:t>
      </w:r>
    </w:p>
    <w:p w:rsidR="00144857" w:rsidRPr="00F371C8" w:rsidRDefault="00144857" w:rsidP="00AC53B5">
      <w:pPr>
        <w:pStyle w:val="ad"/>
      </w:pPr>
      <w:r w:rsidRPr="00F371C8">
        <w:t>реальным резервным активом.</w:t>
      </w:r>
    </w:p>
    <w:p w:rsidR="00F02169" w:rsidRPr="00F371C8" w:rsidRDefault="00DF1D9F" w:rsidP="00AC53B5">
      <w:pPr>
        <w:pStyle w:val="ad"/>
      </w:pPr>
      <w:r w:rsidRPr="00F371C8">
        <w:t xml:space="preserve">Новый этап в развитии западноевропейской интеграции начался с Единого европейского акта, принятого в </w:t>
      </w:r>
      <w:smartTag w:uri="urn:schemas-microsoft-com:office:smarttags" w:element="metricconverter">
        <w:smartTagPr>
          <w:attr w:name="ProductID" w:val="1987 г"/>
        </w:smartTagPr>
        <w:r w:rsidRPr="00F371C8">
          <w:t>1987 г</w:t>
        </w:r>
      </w:smartTag>
      <w:r w:rsidRPr="00F371C8">
        <w:t xml:space="preserve">., и с программы создания валютного и экономического союза, разработанной комитетом Жака Делора в апреле </w:t>
      </w:r>
      <w:smartTag w:uri="urn:schemas-microsoft-com:office:smarttags" w:element="metricconverter">
        <w:smartTagPr>
          <w:attr w:name="ProductID" w:val="1989 г"/>
        </w:smartTagPr>
        <w:r w:rsidRPr="00F371C8">
          <w:t>1989 г</w:t>
        </w:r>
      </w:smartTag>
      <w:r w:rsidRPr="00F371C8">
        <w:t xml:space="preserve">. На основании </w:t>
      </w:r>
      <w:r w:rsidR="00E20541" w:rsidRPr="00F371C8">
        <w:t>«</w:t>
      </w:r>
      <w:r w:rsidRPr="00F371C8">
        <w:t>плана Делора</w:t>
      </w:r>
      <w:r w:rsidR="00E20541" w:rsidRPr="00F371C8">
        <w:t>»</w:t>
      </w:r>
      <w:r w:rsidRPr="00F371C8">
        <w:t xml:space="preserve"> к декабрю </w:t>
      </w:r>
      <w:smartTag w:uri="urn:schemas-microsoft-com:office:smarttags" w:element="metricconverter">
        <w:smartTagPr>
          <w:attr w:name="ProductID" w:val="1991 г"/>
        </w:smartTagPr>
        <w:r w:rsidRPr="00F371C8">
          <w:t>1991 г</w:t>
        </w:r>
      </w:smartTag>
      <w:r w:rsidRPr="00F371C8">
        <w:t>. был выработан Маастрихтский договор о Европейском союзе.</w:t>
      </w:r>
    </w:p>
    <w:p w:rsidR="00F02169" w:rsidRPr="00F371C8" w:rsidRDefault="00DF1D9F" w:rsidP="00AC53B5">
      <w:pPr>
        <w:pStyle w:val="ad"/>
      </w:pPr>
      <w:r w:rsidRPr="00F371C8">
        <w:t xml:space="preserve">Договор подписан 12 странами ЕС в Маастрихте (Нидерланды) в феврале </w:t>
      </w:r>
      <w:smartTag w:uri="urn:schemas-microsoft-com:office:smarttags" w:element="metricconverter">
        <w:smartTagPr>
          <w:attr w:name="ProductID" w:val="1992 г"/>
        </w:smartTagPr>
        <w:r w:rsidRPr="00F371C8">
          <w:t>1992 г</w:t>
        </w:r>
      </w:smartTag>
      <w:r w:rsidRPr="00F371C8">
        <w:t xml:space="preserve">., ратифицирован и вступил в силу с 1 ноября </w:t>
      </w:r>
      <w:smartTag w:uri="urn:schemas-microsoft-com:office:smarttags" w:element="metricconverter">
        <w:smartTagPr>
          <w:attr w:name="ProductID" w:val="1993 г"/>
        </w:smartTagPr>
        <w:r w:rsidRPr="00F371C8">
          <w:t>1993 г</w:t>
        </w:r>
      </w:smartTag>
      <w:r w:rsidRPr="00F371C8">
        <w:t>.</w:t>
      </w:r>
    </w:p>
    <w:p w:rsidR="00C96B51" w:rsidRPr="00F371C8" w:rsidRDefault="00C96B51" w:rsidP="00AC53B5">
      <w:pPr>
        <w:pStyle w:val="ad"/>
      </w:pPr>
      <w:r w:rsidRPr="00F371C8">
        <w:t>Европейское сообщество стало официально именоваться Европейским союзом (ЕС). Маастрихтский договор предусматривает поэтапное формирование политического, экономического и валютного союза</w:t>
      </w:r>
      <w:r w:rsidR="00DD15AE" w:rsidRPr="00F371C8">
        <w:t xml:space="preserve"> [</w:t>
      </w:r>
      <w:r w:rsidR="00320A9C" w:rsidRPr="00F371C8">
        <w:t>8</w:t>
      </w:r>
      <w:r w:rsidR="00DD15AE" w:rsidRPr="00F371C8">
        <w:t>]</w:t>
      </w:r>
      <w:r w:rsidR="00757A24" w:rsidRPr="00F371C8">
        <w:t>:</w:t>
      </w:r>
    </w:p>
    <w:p w:rsidR="00F02169" w:rsidRPr="00F371C8" w:rsidRDefault="00EA4E68" w:rsidP="00AC53B5">
      <w:pPr>
        <w:pStyle w:val="ad"/>
      </w:pPr>
      <w:r w:rsidRPr="00F371C8">
        <w:t>I</w:t>
      </w:r>
      <w:r w:rsidR="004C7267" w:rsidRPr="00F371C8">
        <w:t xml:space="preserve"> этап (1990 </w:t>
      </w:r>
      <w:r w:rsidR="00B84A7C" w:rsidRPr="00F371C8">
        <w:t>-</w:t>
      </w:r>
      <w:r w:rsidR="004C7267" w:rsidRPr="00F371C8">
        <w:t xml:space="preserve"> 1993 </w:t>
      </w:r>
      <w:r w:rsidR="00B84A7C" w:rsidRPr="00F371C8">
        <w:t>г</w:t>
      </w:r>
      <w:r w:rsidR="004C7267" w:rsidRPr="00F371C8">
        <w:t>г) предусматривал становление экономического и валютного союза, включая подготовительные мероприятия. В частности, происходило сближение уровней экономического развития стран, снижались темпы инфляции, сокращался бюджетный дефицит, стабилизировались курсы валют, шло оздоровление государственных финансов. В эти годы окончательно отменили валютные ограничения, началось свободное движение капиталов внутри союза и между третьими странами. Эти меры подготавливали введение евро как единой денежной единицы.</w:t>
      </w:r>
    </w:p>
    <w:p w:rsidR="00F02169" w:rsidRPr="00F371C8" w:rsidRDefault="00EA4E68" w:rsidP="00AC53B5">
      <w:pPr>
        <w:pStyle w:val="ad"/>
      </w:pPr>
      <w:r w:rsidRPr="00F371C8">
        <w:t>II</w:t>
      </w:r>
      <w:r w:rsidR="004C7267" w:rsidRPr="00F371C8">
        <w:t xml:space="preserve"> этап (1994 </w:t>
      </w:r>
      <w:r w:rsidRPr="00F371C8">
        <w:t xml:space="preserve">- </w:t>
      </w:r>
      <w:r w:rsidR="004C7267" w:rsidRPr="00F371C8">
        <w:t>1998 г</w:t>
      </w:r>
      <w:r w:rsidRPr="00F371C8">
        <w:t>г</w:t>
      </w:r>
      <w:r w:rsidR="004C7267" w:rsidRPr="00F371C8">
        <w:t>)</w:t>
      </w:r>
      <w:r w:rsidRPr="00F371C8">
        <w:t xml:space="preserve"> </w:t>
      </w:r>
      <w:r w:rsidR="004C7267" w:rsidRPr="00F371C8">
        <w:t xml:space="preserve">потребовал более конкретных действий от стран </w:t>
      </w:r>
      <w:r w:rsidRPr="00F371C8">
        <w:t>-</w:t>
      </w:r>
      <w:r w:rsidR="004C7267" w:rsidRPr="00F371C8">
        <w:t xml:space="preserve"> членов ЕС, приближающих введение евро. Как уже отмечалось, в </w:t>
      </w:r>
      <w:smartTag w:uri="urn:schemas-microsoft-com:office:smarttags" w:element="metricconverter">
        <w:smartTagPr>
          <w:attr w:name="ProductID" w:val="1994 г"/>
        </w:smartTagPr>
        <w:r w:rsidR="004C7267" w:rsidRPr="00F371C8">
          <w:t>1994 г</w:t>
        </w:r>
      </w:smartTag>
      <w:r w:rsidR="004C7267" w:rsidRPr="00F371C8">
        <w:t>. начал функционировать Европейский валютный институт, не зависевший от национальных правительств и наднациональных европейских органов. Ему предстояло обеспечить необходимую подготовку для введения евро. Результатами работы стали: усиление кооперации национальных центральных банков, координация валютной политики стран ЕС, надежный контроль за колебаниями валют в рамках ЕС, отлаженные платежные системы и системы валютного регулирования, предпосылки (правовые, организационные и материально-технические) для создания Европейского центрального банка.</w:t>
      </w:r>
    </w:p>
    <w:p w:rsidR="00F02169" w:rsidRPr="00F371C8" w:rsidRDefault="00F20907" w:rsidP="00AC53B5">
      <w:pPr>
        <w:pStyle w:val="ad"/>
      </w:pPr>
      <w:r w:rsidRPr="00F371C8">
        <w:t xml:space="preserve">Итак, Европейский валютный институт послужил фундаментом для создания Европейского центрального банка, который начал функционировать с середины </w:t>
      </w:r>
      <w:smartTag w:uri="urn:schemas-microsoft-com:office:smarttags" w:element="metricconverter">
        <w:smartTagPr>
          <w:attr w:name="ProductID" w:val="1998 г"/>
        </w:smartTagPr>
        <w:r w:rsidRPr="00F371C8">
          <w:t>1998 г</w:t>
        </w:r>
      </w:smartTag>
      <w:r w:rsidRPr="00F371C8">
        <w:t>. Главная цель его деятельности - поддержание стабильности цен и, соответственно, единой валюты.</w:t>
      </w:r>
    </w:p>
    <w:p w:rsidR="003E0886" w:rsidRPr="00F371C8" w:rsidRDefault="003E0886" w:rsidP="00AC53B5">
      <w:pPr>
        <w:pStyle w:val="ad"/>
      </w:pPr>
      <w:r w:rsidRPr="00F371C8">
        <w:t xml:space="preserve">В мае </w:t>
      </w:r>
      <w:smartTag w:uri="urn:schemas-microsoft-com:office:smarttags" w:element="metricconverter">
        <w:smartTagPr>
          <w:attr w:name="ProductID" w:val="1998 г"/>
        </w:smartTagPr>
        <w:r w:rsidRPr="00F371C8">
          <w:t>1998 г</w:t>
        </w:r>
      </w:smartTag>
      <w:r w:rsidRPr="00F371C8">
        <w:t xml:space="preserve">. главы государств и правительств 15 стран-участниц, отталкиваясь от экономических показателей за </w:t>
      </w:r>
      <w:smartTag w:uri="urn:schemas-microsoft-com:office:smarttags" w:element="metricconverter">
        <w:smartTagPr>
          <w:attr w:name="ProductID" w:val="1997 г"/>
        </w:smartTagPr>
        <w:r w:rsidRPr="00F371C8">
          <w:t>1997 г</w:t>
        </w:r>
      </w:smartTag>
      <w:r w:rsidRPr="00F371C8">
        <w:t>., приняли решение о том, какие из них удовлетворяют критериям конвергенции (объединения) для вступления в Валютный союз:</w:t>
      </w:r>
    </w:p>
    <w:p w:rsidR="003E0886" w:rsidRPr="00F371C8" w:rsidRDefault="003E0886" w:rsidP="00AC53B5">
      <w:pPr>
        <w:pStyle w:val="ad"/>
      </w:pPr>
      <w:r w:rsidRPr="00F371C8">
        <w:t>уровень инфляции не может превышать 1,5% от уровня трех стран с наименьшими темпами инфляции;</w:t>
      </w:r>
    </w:p>
    <w:p w:rsidR="003E0886" w:rsidRPr="00F371C8" w:rsidRDefault="003E0886" w:rsidP="00AC53B5">
      <w:pPr>
        <w:pStyle w:val="ad"/>
      </w:pPr>
      <w:r w:rsidRPr="00F371C8">
        <w:t>дефицит госбюджета не должен превышать 3%;</w:t>
      </w:r>
    </w:p>
    <w:p w:rsidR="003E0886" w:rsidRPr="00F371C8" w:rsidRDefault="003E0886" w:rsidP="00AC53B5">
      <w:pPr>
        <w:pStyle w:val="ad"/>
      </w:pPr>
      <w:r w:rsidRPr="00F371C8">
        <w:t>совокупный государственный долг - 60% стоимости валового внутреннего продукта (ВВП) соответствующего государства;</w:t>
      </w:r>
    </w:p>
    <w:p w:rsidR="003E0886" w:rsidRPr="00F371C8" w:rsidRDefault="003E0886" w:rsidP="00AC53B5">
      <w:pPr>
        <w:pStyle w:val="ad"/>
      </w:pPr>
      <w:r w:rsidRPr="00F371C8">
        <w:t>доходные процентные ставки могут лишь на 2% превышать процентные ставки по госзаймам в трех странах с самыми стабильными ценами;</w:t>
      </w:r>
    </w:p>
    <w:p w:rsidR="003E0886" w:rsidRPr="00F371C8" w:rsidRDefault="003E0886" w:rsidP="00AC53B5">
      <w:pPr>
        <w:pStyle w:val="ad"/>
      </w:pPr>
      <w:r w:rsidRPr="00F371C8">
        <w:t>национальные валюты должны в течение двух лет - без больших колебаний курса - быть частью европейской валютной системы.</w:t>
      </w:r>
    </w:p>
    <w:p w:rsidR="00F02169" w:rsidRPr="00F371C8" w:rsidRDefault="00EA4E68" w:rsidP="00AC53B5">
      <w:pPr>
        <w:pStyle w:val="ad"/>
      </w:pPr>
      <w:r w:rsidRPr="00F371C8">
        <w:t xml:space="preserve">III </w:t>
      </w:r>
      <w:r w:rsidR="004C7267" w:rsidRPr="00F371C8">
        <w:t xml:space="preserve">этап (1999—2002 гг.) предусматривал переход к единой валюте </w:t>
      </w:r>
      <w:r w:rsidR="00881ED3" w:rsidRPr="00F371C8">
        <w:t>–«</w:t>
      </w:r>
      <w:r w:rsidR="004C7267" w:rsidRPr="00F371C8">
        <w:t>евро</w:t>
      </w:r>
      <w:r w:rsidR="00881ED3" w:rsidRPr="00F371C8">
        <w:t>»</w:t>
      </w:r>
      <w:r w:rsidR="004C7267" w:rsidRPr="00F371C8">
        <w:t xml:space="preserve">. </w:t>
      </w:r>
      <w:r w:rsidR="00BE663B" w:rsidRPr="00F371C8">
        <w:t>С января 1999 курсы валют всех стран-членов валютного союза по отношению к ЭКЮ были жестко зафиксированы, обменные курсы национальных валют также были установлены по взаимной договоренности и без права изменений.</w:t>
      </w:r>
    </w:p>
    <w:p w:rsidR="00F02169" w:rsidRPr="00F371C8" w:rsidRDefault="00BA1596" w:rsidP="00AC53B5">
      <w:pPr>
        <w:pStyle w:val="ad"/>
      </w:pPr>
      <w:r w:rsidRPr="00F371C8">
        <w:t>Затем был осуществлен перевод ЭКЮ в евро по курсу один к одному. Центральные национальные банки сняли с себя ответственность за денежную политику и базовую процентную ставку и возложили её на Европейский центральный банк.</w:t>
      </w:r>
      <w:r w:rsidR="00F02169" w:rsidRPr="00F371C8">
        <w:t xml:space="preserve"> </w:t>
      </w:r>
      <w:r w:rsidRPr="00F371C8">
        <w:t xml:space="preserve">Национальная валюта сохранялась только в качестве параллельной денежной единицы до </w:t>
      </w:r>
      <w:smartTag w:uri="urn:schemas-microsoft-com:office:smarttags" w:element="metricconverter">
        <w:smartTagPr>
          <w:attr w:name="ProductID" w:val="2002 г"/>
        </w:smartTagPr>
        <w:r w:rsidRPr="00F371C8">
          <w:t>2002 г</w:t>
        </w:r>
      </w:smartTag>
      <w:r w:rsidRPr="00F371C8">
        <w:t>.</w:t>
      </w:r>
    </w:p>
    <w:p w:rsidR="00BA1596" w:rsidRPr="00F371C8" w:rsidRDefault="00BA1596" w:rsidP="00AC53B5">
      <w:pPr>
        <w:pStyle w:val="ad"/>
      </w:pPr>
      <w:r w:rsidRPr="00F371C8">
        <w:t xml:space="preserve">С 1 января </w:t>
      </w:r>
      <w:smartTag w:uri="urn:schemas-microsoft-com:office:smarttags" w:element="metricconverter">
        <w:smartTagPr>
          <w:attr w:name="ProductID" w:val="2002 г"/>
        </w:smartTagPr>
        <w:r w:rsidRPr="00F371C8">
          <w:t>2002 г</w:t>
        </w:r>
      </w:smartTag>
      <w:r w:rsidRPr="00F371C8">
        <w:t xml:space="preserve">. начался выпуск банкнот и монет евро, на которые обменивались национальные валюты. К середине </w:t>
      </w:r>
      <w:smartTag w:uri="urn:schemas-microsoft-com:office:smarttags" w:element="metricconverter">
        <w:smartTagPr>
          <w:attr w:name="ProductID" w:val="2002 г"/>
        </w:smartTagPr>
        <w:r w:rsidRPr="00F371C8">
          <w:t>2002 г</w:t>
        </w:r>
      </w:smartTag>
      <w:r w:rsidRPr="00F371C8">
        <w:t>. завершился полный переход хозяйственного оборота стран-участниц на единую валюту.</w:t>
      </w:r>
    </w:p>
    <w:p w:rsidR="00BA1596" w:rsidRPr="00F371C8" w:rsidRDefault="00BA1596" w:rsidP="00AC53B5">
      <w:pPr>
        <w:pStyle w:val="ad"/>
      </w:pPr>
      <w:r w:rsidRPr="00F371C8">
        <w:t>Сценарий переходного периода к евро предусматривал 2 этапа:</w:t>
      </w:r>
    </w:p>
    <w:p w:rsidR="00BA1596" w:rsidRPr="00F371C8" w:rsidRDefault="00BA1596" w:rsidP="00AC53B5">
      <w:pPr>
        <w:pStyle w:val="ad"/>
      </w:pPr>
      <w:r w:rsidRPr="00F371C8">
        <w:t xml:space="preserve">1 этап перехода к евро. С 1 января </w:t>
      </w:r>
      <w:smartTag w:uri="urn:schemas-microsoft-com:office:smarttags" w:element="metricconverter">
        <w:smartTagPr>
          <w:attr w:name="ProductID" w:val="1999 г"/>
        </w:smartTagPr>
        <w:r w:rsidRPr="00F371C8">
          <w:t>1999 г</w:t>
        </w:r>
      </w:smartTag>
      <w:r w:rsidRPr="00F371C8">
        <w:t>. твердую фиксацию курсов валют стран зоны евро к евро для пересчетов.</w:t>
      </w:r>
    </w:p>
    <w:p w:rsidR="008B0DAF" w:rsidRPr="00F371C8" w:rsidRDefault="008B0DAF" w:rsidP="00AC53B5">
      <w:pPr>
        <w:pStyle w:val="ad"/>
      </w:pPr>
    </w:p>
    <w:p w:rsidR="00F408DF" w:rsidRPr="00F371C8" w:rsidRDefault="00F408DF" w:rsidP="00AC53B5">
      <w:pPr>
        <w:pStyle w:val="ad"/>
      </w:pPr>
      <w:r w:rsidRPr="00F371C8">
        <w:t xml:space="preserve">Таблица </w:t>
      </w:r>
      <w:r w:rsidR="00630E48" w:rsidRPr="00F371C8">
        <w:t>2</w:t>
      </w:r>
      <w:r w:rsidRPr="00F371C8">
        <w:t xml:space="preserve"> </w:t>
      </w:r>
      <w:r w:rsidR="007361D3" w:rsidRPr="00F371C8">
        <w:t>–</w:t>
      </w:r>
      <w:r w:rsidR="00C17ADD" w:rsidRPr="00F371C8">
        <w:t xml:space="preserve"> </w:t>
      </w:r>
      <w:r w:rsidR="007361D3" w:rsidRPr="00F371C8">
        <w:t>Зафиксированная норма национальной валюты</w:t>
      </w:r>
      <w:r w:rsidR="00F02169" w:rsidRPr="00F371C8">
        <w:t xml:space="preserve"> </w:t>
      </w:r>
      <w:r w:rsidR="007361D3" w:rsidRPr="00F371C8">
        <w:t>для пересчета в евро [</w:t>
      </w:r>
      <w:r w:rsidR="00FA5B8E" w:rsidRPr="00F371C8">
        <w:t>6</w:t>
      </w:r>
      <w:r w:rsidR="007361D3" w:rsidRPr="00F371C8">
        <w:t>]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0"/>
        <w:gridCol w:w="2467"/>
        <w:gridCol w:w="5245"/>
      </w:tblGrid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№ п/п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 xml:space="preserve">Валюта 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Единицы национальной валюты за 1 евро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1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Бельгийский франк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40.3399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2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Немецкая марка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1.95583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3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Испанская песета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166.386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4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Французский франк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6.55957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5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Ирландский фунт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0.787564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6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Итальянская лира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1936.27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7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Люксембургский франк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40.3399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8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Голландский гульден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2.20371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9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Австрийский шиллинг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13.7603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10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Португальское эскудо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200.482</w:t>
            </w:r>
          </w:p>
        </w:tc>
      </w:tr>
      <w:tr w:rsidR="00F408DF" w:rsidRPr="00E01C10" w:rsidTr="00E01C10">
        <w:tc>
          <w:tcPr>
            <w:tcW w:w="1360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11</w:t>
            </w:r>
          </w:p>
        </w:tc>
        <w:tc>
          <w:tcPr>
            <w:tcW w:w="2467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Финская марка</w:t>
            </w:r>
          </w:p>
        </w:tc>
        <w:tc>
          <w:tcPr>
            <w:tcW w:w="5245" w:type="dxa"/>
            <w:shd w:val="clear" w:color="auto" w:fill="auto"/>
          </w:tcPr>
          <w:p w:rsidR="00F408DF" w:rsidRPr="00F371C8" w:rsidRDefault="00F408DF" w:rsidP="008B0DAF">
            <w:pPr>
              <w:pStyle w:val="ae"/>
            </w:pPr>
            <w:r w:rsidRPr="00F371C8">
              <w:t>5.94573</w:t>
            </w:r>
          </w:p>
        </w:tc>
      </w:tr>
    </w:tbl>
    <w:p w:rsidR="008B0DAF" w:rsidRPr="00F371C8" w:rsidRDefault="008B0DAF" w:rsidP="00AC53B5">
      <w:pPr>
        <w:pStyle w:val="ad"/>
        <w:sectPr w:rsidR="008B0DAF" w:rsidRPr="00F371C8" w:rsidSect="00F02169">
          <w:footerReference w:type="even" r:id="rId7"/>
          <w:footerReference w:type="default" r:id="rId8"/>
          <w:pgSz w:w="11907" w:h="16839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08DF" w:rsidRPr="00F371C8" w:rsidRDefault="00BA1596" w:rsidP="00AC53B5">
      <w:pPr>
        <w:pStyle w:val="ad"/>
      </w:pPr>
      <w:r w:rsidRPr="00F371C8">
        <w:t xml:space="preserve">2 этап перехода к евро. </w:t>
      </w:r>
      <w:r w:rsidR="00AC4572" w:rsidRPr="00F371C8">
        <w:t xml:space="preserve">Хотя формально переход в </w:t>
      </w:r>
      <w:r w:rsidR="00A569C1" w:rsidRPr="00F371C8">
        <w:t>III</w:t>
      </w:r>
      <w:r w:rsidR="00AC4572" w:rsidRPr="00F371C8">
        <w:t xml:space="preserve"> стадию становления </w:t>
      </w:r>
      <w:r w:rsidR="00A569C1" w:rsidRPr="00F371C8">
        <w:t>Европейского валютного союза</w:t>
      </w:r>
      <w:r w:rsidR="00AC4572" w:rsidRPr="00F371C8">
        <w:t xml:space="preserve"> с 1 января </w:t>
      </w:r>
      <w:smartTag w:uri="urn:schemas-microsoft-com:office:smarttags" w:element="metricconverter">
        <w:smartTagPr>
          <w:attr w:name="ProductID" w:val="1999 г"/>
        </w:smartTagPr>
        <w:r w:rsidR="00AC4572" w:rsidRPr="00F371C8">
          <w:t>1999 г</w:t>
        </w:r>
      </w:smartTag>
      <w:r w:rsidR="00AC4572" w:rsidRPr="00F371C8">
        <w:t xml:space="preserve">. открыт для всех стран </w:t>
      </w:r>
      <w:r w:rsidR="00A569C1" w:rsidRPr="00F371C8">
        <w:t>-</w:t>
      </w:r>
      <w:r w:rsidR="00AC4572" w:rsidRPr="00F371C8">
        <w:t xml:space="preserve"> членов ЕС, было с самого начала маловероятно, что все они перейдут на евро. Поэтому определение будущих взаимоотношений между присоединившимися странами и неприсоединившимися было сфокусировано на необходимости разработки приемлемого механизма регулирования валютных курсов между евро и валютами, остающимися в национальном подчинении.</w:t>
      </w:r>
    </w:p>
    <w:p w:rsidR="00AF4BF5" w:rsidRPr="00F371C8" w:rsidRDefault="00CA70A6" w:rsidP="00AC53B5">
      <w:pPr>
        <w:pStyle w:val="ad"/>
      </w:pPr>
      <w:r w:rsidRPr="00F371C8">
        <w:t>Над решением этого вопроса в Евросовете начали</w:t>
      </w:r>
      <w:r w:rsidR="00F02169" w:rsidRPr="00F371C8">
        <w:t xml:space="preserve"> </w:t>
      </w:r>
      <w:r w:rsidRPr="00F371C8">
        <w:t xml:space="preserve">работать еще </w:t>
      </w:r>
      <w:smartTag w:uri="urn:schemas-microsoft-com:office:smarttags" w:element="metricconverter">
        <w:smartTagPr>
          <w:attr w:name="ProductID" w:val="1996 г"/>
        </w:smartTagPr>
        <w:r w:rsidR="00AF4BF5" w:rsidRPr="00F371C8">
          <w:t>1996 г</w:t>
        </w:r>
      </w:smartTag>
      <w:r w:rsidR="00AF4BF5" w:rsidRPr="00F371C8">
        <w:t xml:space="preserve">. </w:t>
      </w:r>
      <w:r w:rsidRPr="00F371C8">
        <w:t>А в</w:t>
      </w:r>
      <w:r w:rsidR="00AF4BF5" w:rsidRPr="00F371C8">
        <w:t xml:space="preserve"> июне </w:t>
      </w:r>
      <w:smartTag w:uri="urn:schemas-microsoft-com:office:smarttags" w:element="metricconverter">
        <w:smartTagPr>
          <w:attr w:name="ProductID" w:val="1997 г"/>
        </w:smartTagPr>
        <w:r w:rsidR="00AF4BF5" w:rsidRPr="00F371C8">
          <w:t>1997 г</w:t>
        </w:r>
      </w:smartTag>
      <w:r w:rsidR="00AF4BF5" w:rsidRPr="00F371C8">
        <w:t xml:space="preserve">. в Амстердаме Евросовет принял резолюцию, определяющую принципы и фундаментальные основы такого механизма, получившего аббревиатуру «МОК-2» («Механизм обменных курсов - 2») и подлежащего введению в действие с 1 января </w:t>
      </w:r>
      <w:smartTag w:uri="urn:schemas-microsoft-com:office:smarttags" w:element="metricconverter">
        <w:smartTagPr>
          <w:attr w:name="ProductID" w:val="1999 г"/>
        </w:smartTagPr>
        <w:r w:rsidR="00AF4BF5" w:rsidRPr="00F371C8">
          <w:t>1999 г</w:t>
        </w:r>
      </w:smartTag>
      <w:r w:rsidR="00AF4BF5" w:rsidRPr="00F371C8">
        <w:t>. Эта резолюция была поддержана руководителями центральных банков всех стран - членов ЕС и оформлена в виде специального соглашения по оперативным процедурам функционирования «МОК-2» между национальными центральными банками и Е</w:t>
      </w:r>
      <w:r w:rsidRPr="00F371C8">
        <w:t>вропейским Центральным банком (ЕЦБ)</w:t>
      </w:r>
      <w:r w:rsidR="00AF4BF5" w:rsidRPr="00F371C8">
        <w:t>.</w:t>
      </w:r>
    </w:p>
    <w:p w:rsidR="00BA1596" w:rsidRPr="00F371C8" w:rsidRDefault="00BA1596" w:rsidP="00AC53B5">
      <w:pPr>
        <w:pStyle w:val="ad"/>
      </w:pPr>
      <w:r w:rsidRPr="00F371C8">
        <w:t>Принципы вступления неприсоединившихся к Единой европейской валюте стран были следующими:</w:t>
      </w:r>
    </w:p>
    <w:p w:rsidR="00F02169" w:rsidRPr="00F371C8" w:rsidRDefault="00BA1596" w:rsidP="00AC53B5">
      <w:pPr>
        <w:pStyle w:val="ad"/>
      </w:pPr>
      <w:r w:rsidRPr="00F371C8">
        <w:t>За основу берется «модель колеса со спицами», в котором евро будет играть роль центральной, «якорной валюты» и счетной единицы, а валюты неприсоединившихся к Единой европейской валюте стран будут связаны с ней исключительно на двусторонней основе.</w:t>
      </w:r>
    </w:p>
    <w:p w:rsidR="00F02169" w:rsidRPr="00F371C8" w:rsidRDefault="00BA1596" w:rsidP="00AC53B5">
      <w:pPr>
        <w:pStyle w:val="ad"/>
      </w:pPr>
      <w:r w:rsidRPr="00F371C8">
        <w:t>Установле</w:t>
      </w:r>
      <w:r w:rsidR="006A662B" w:rsidRPr="00F371C8">
        <w:t>ние</w:t>
      </w:r>
      <w:r w:rsidRPr="00F371C8">
        <w:t xml:space="preserve"> центральны</w:t>
      </w:r>
      <w:r w:rsidR="006A662B" w:rsidRPr="00F371C8">
        <w:t>х</w:t>
      </w:r>
      <w:r w:rsidRPr="00F371C8">
        <w:t xml:space="preserve"> курс</w:t>
      </w:r>
      <w:r w:rsidR="006A662B" w:rsidRPr="00F371C8">
        <w:t>ов</w:t>
      </w:r>
      <w:r w:rsidRPr="00F371C8">
        <w:t xml:space="preserve"> и предел</w:t>
      </w:r>
      <w:r w:rsidR="006A662B" w:rsidRPr="00F371C8">
        <w:t>ов</w:t>
      </w:r>
      <w:r w:rsidRPr="00F371C8">
        <w:t xml:space="preserve"> допустимых курсовых колебаний. Значения этих центральных валютных курсов валют к евро устанавливаются индивидуально с допустимым пределом колебаний вокруг них ±15%.</w:t>
      </w:r>
    </w:p>
    <w:p w:rsidR="00200033" w:rsidRPr="00F371C8" w:rsidRDefault="00675F27" w:rsidP="00AC53B5">
      <w:pPr>
        <w:pStyle w:val="ad"/>
      </w:pPr>
      <w:r w:rsidRPr="00F371C8">
        <w:t xml:space="preserve">Наиболее </w:t>
      </w:r>
      <w:r w:rsidR="00B97BDC" w:rsidRPr="00F371C8">
        <w:t>легким</w:t>
      </w:r>
      <w:r w:rsidRPr="00F371C8">
        <w:t xml:space="preserve"> стал </w:t>
      </w:r>
      <w:r w:rsidR="00B97BDC" w:rsidRPr="00F371C8">
        <w:t>переход к евро для бюджета и ин</w:t>
      </w:r>
      <w:r w:rsidRPr="00F371C8">
        <w:t>ститутов ЕС, которые уже давно работа</w:t>
      </w:r>
      <w:r w:rsidR="00CE7694" w:rsidRPr="00F371C8">
        <w:t>ли</w:t>
      </w:r>
      <w:r w:rsidRPr="00F371C8">
        <w:t xml:space="preserve"> на базе эквивалентного ему ЭКЮ.</w:t>
      </w:r>
    </w:p>
    <w:p w:rsidR="004C7267" w:rsidRPr="00F371C8" w:rsidRDefault="004C7267" w:rsidP="00AC53B5">
      <w:pPr>
        <w:pStyle w:val="ad"/>
      </w:pPr>
      <w:r w:rsidRPr="00F371C8">
        <w:t>Основные цел</w:t>
      </w:r>
      <w:r w:rsidR="004F3FDA" w:rsidRPr="00F371C8">
        <w:t>ями</w:t>
      </w:r>
      <w:r w:rsidRPr="00F371C8">
        <w:t xml:space="preserve"> создания в</w:t>
      </w:r>
      <w:r w:rsidR="00B97BDC" w:rsidRPr="00F371C8">
        <w:t xml:space="preserve">алютного союза и введения евро </w:t>
      </w:r>
      <w:r w:rsidR="00675F27" w:rsidRPr="00F371C8">
        <w:t>являются:</w:t>
      </w:r>
    </w:p>
    <w:p w:rsidR="00F02169" w:rsidRPr="00F371C8" w:rsidRDefault="004C7267" w:rsidP="00AC53B5">
      <w:pPr>
        <w:pStyle w:val="ad"/>
      </w:pPr>
      <w:r w:rsidRPr="00F371C8">
        <w:t>создание крупнейшего мирового экономического и финансового центра, ключевым инструментом которого становится новая валюта «евро».</w:t>
      </w:r>
    </w:p>
    <w:p w:rsidR="004C7267" w:rsidRPr="00F371C8" w:rsidRDefault="004C7267" w:rsidP="00AC53B5">
      <w:pPr>
        <w:pStyle w:val="ad"/>
      </w:pPr>
      <w:r w:rsidRPr="00F371C8">
        <w:t>облегчение обмена: нестабильность обменных курсов внутри действующей европейской валютной системы приводит к тяжелым последствиям для экономик стран-участниц, которые вынуждены страховаться от обменных рисков;</w:t>
      </w:r>
    </w:p>
    <w:p w:rsidR="004C7267" w:rsidRPr="00F371C8" w:rsidRDefault="004C7267" w:rsidP="00AC53B5">
      <w:pPr>
        <w:pStyle w:val="ad"/>
      </w:pPr>
      <w:r w:rsidRPr="00F371C8">
        <w:t>согласование экономических политик;</w:t>
      </w:r>
    </w:p>
    <w:p w:rsidR="004C7267" w:rsidRPr="00F371C8" w:rsidRDefault="004C7267" w:rsidP="00AC53B5">
      <w:pPr>
        <w:pStyle w:val="ad"/>
      </w:pPr>
      <w:r w:rsidRPr="00F371C8">
        <w:t>создание противовеса влиянию США - долларизации мировой экономики;</w:t>
      </w:r>
    </w:p>
    <w:p w:rsidR="00F02169" w:rsidRPr="00F371C8" w:rsidRDefault="004C7267" w:rsidP="00AC53B5">
      <w:pPr>
        <w:pStyle w:val="ad"/>
      </w:pPr>
      <w:r w:rsidRPr="00F371C8">
        <w:t>усиление политических позиций ЕС на мировой арене.</w:t>
      </w:r>
    </w:p>
    <w:p w:rsidR="00F02169" w:rsidRPr="00F371C8" w:rsidRDefault="002266BB" w:rsidP="00AC53B5">
      <w:pPr>
        <w:pStyle w:val="ad"/>
      </w:pPr>
      <w:r w:rsidRPr="00F371C8">
        <w:t>В настоящее время евро является полноценной валютой, используемой на территории ЕС.</w:t>
      </w:r>
    </w:p>
    <w:p w:rsidR="008160A6" w:rsidRPr="00F371C8" w:rsidRDefault="008160A6" w:rsidP="00AC53B5">
      <w:pPr>
        <w:pStyle w:val="ad"/>
      </w:pPr>
      <w:r w:rsidRPr="00F371C8">
        <w:t xml:space="preserve">Таким образом, Европейская валютная система возникла на основе всех трех форм государственной интеграции: валютной интеграции, интеграции финансовых рынков и политической интеграции. И все возникающие в таком валютном союзе проблемы и преимущества проявляются </w:t>
      </w:r>
      <w:r w:rsidR="00234BDB" w:rsidRPr="00F371C8">
        <w:t>во всем своем многообразии.</w:t>
      </w:r>
    </w:p>
    <w:p w:rsidR="008160A6" w:rsidRPr="00F371C8" w:rsidRDefault="008160A6" w:rsidP="00AC53B5">
      <w:pPr>
        <w:pStyle w:val="ad"/>
      </w:pPr>
    </w:p>
    <w:p w:rsidR="006B4240" w:rsidRPr="00F371C8" w:rsidRDefault="007755F2" w:rsidP="00AC53B5">
      <w:pPr>
        <w:pStyle w:val="ad"/>
      </w:pPr>
      <w:bookmarkStart w:id="14" w:name="_Toc259564164"/>
      <w:bookmarkStart w:id="15" w:name="_Toc259564214"/>
      <w:bookmarkStart w:id="16" w:name="_Toc259564339"/>
      <w:r w:rsidRPr="00F371C8">
        <w:t>3</w:t>
      </w:r>
      <w:r w:rsidR="008B0DAF" w:rsidRPr="00F371C8">
        <w:t>. Особенности европейской валютной системы</w:t>
      </w:r>
      <w:r w:rsidR="00F02169" w:rsidRPr="00F371C8">
        <w:t xml:space="preserve"> </w:t>
      </w:r>
      <w:r w:rsidR="008B0DAF" w:rsidRPr="00F371C8">
        <w:t>на современном этапе</w:t>
      </w:r>
      <w:bookmarkEnd w:id="14"/>
      <w:bookmarkEnd w:id="15"/>
      <w:bookmarkEnd w:id="16"/>
    </w:p>
    <w:p w:rsidR="004F3FDA" w:rsidRPr="00F371C8" w:rsidRDefault="004F3FDA" w:rsidP="00AC53B5">
      <w:pPr>
        <w:pStyle w:val="ad"/>
      </w:pPr>
    </w:p>
    <w:p w:rsidR="00953E3F" w:rsidRPr="00F371C8" w:rsidRDefault="00953E3F" w:rsidP="00AC53B5">
      <w:pPr>
        <w:pStyle w:val="ad"/>
      </w:pPr>
      <w:r w:rsidRPr="00F371C8">
        <w:t>Накопленный за последние годы опыт функционирования валютного союза в Европе показал, что важная группа нерешенных в его рамках проблем связана с региональным развитием.</w:t>
      </w:r>
    </w:p>
    <w:p w:rsidR="00E13B26" w:rsidRPr="00F371C8" w:rsidRDefault="00E13B26" w:rsidP="00AC53B5">
      <w:pPr>
        <w:pStyle w:val="ad"/>
      </w:pPr>
      <w:r w:rsidRPr="00F371C8">
        <w:t>Основным инструментом координации бюджетной политики в рамках ЕС является применение нормативов дефицита бюджета и государственного долга. Их установление представляет собой разновидность «финансовых правил», получивших в настоящее время широкое распространение в разных странах.</w:t>
      </w:r>
    </w:p>
    <w:p w:rsidR="00E4621D" w:rsidRPr="00F371C8" w:rsidRDefault="00E13B26" w:rsidP="00AC53B5">
      <w:pPr>
        <w:pStyle w:val="ad"/>
      </w:pPr>
      <w:r w:rsidRPr="00F371C8">
        <w:t>«Финансовое правило» - официально установленное органом власти или международным договором обязательство придерживаться в долгосрочной перспективе определенных количественных значений каких-либо бюджетных показателей, например, объема бюджетного дефицита, государственного долга, объема расходов</w:t>
      </w:r>
      <w:r w:rsidR="00630E48" w:rsidRPr="00F371C8">
        <w:t xml:space="preserve"> [</w:t>
      </w:r>
      <w:r w:rsidR="009229A9" w:rsidRPr="00F371C8">
        <w:t>6</w:t>
      </w:r>
      <w:r w:rsidR="00630E48" w:rsidRPr="00F371C8">
        <w:t>]</w:t>
      </w:r>
      <w:r w:rsidR="003520CA" w:rsidRPr="00F371C8">
        <w:t>.</w:t>
      </w:r>
    </w:p>
    <w:p w:rsidR="00E13B26" w:rsidRPr="00F371C8" w:rsidRDefault="00953E3F" w:rsidP="00AC53B5">
      <w:pPr>
        <w:pStyle w:val="ad"/>
      </w:pPr>
      <w:r w:rsidRPr="00F371C8">
        <w:t>Осуществление политики «финансовых правил» в ЕС отличается от аналогичной политики других стран. Главной особенностью сообщества является установление четких бюджетных нормативов. Практика наложения финансовых санкций за превышение нормативных показателей действует только в ЕС.</w:t>
      </w:r>
    </w:p>
    <w:p w:rsidR="00953E3F" w:rsidRPr="00F371C8" w:rsidRDefault="00953E3F" w:rsidP="00AC53B5">
      <w:pPr>
        <w:pStyle w:val="ad"/>
      </w:pPr>
      <w:r w:rsidRPr="00F371C8">
        <w:t>Большое значение для действенного исполнения «финансовых правил» имеет контроль за их соблюдением. В странах ЕС такой контроль осуществляют: Совет министров экономики и финансов (ЭКОФИН) и Комиссия ЕС. Надзор за соблюдением установленных процедур расчета статистических показателей обеспечивает Евростат.</w:t>
      </w:r>
    </w:p>
    <w:p w:rsidR="007E5F51" w:rsidRPr="00F371C8" w:rsidRDefault="0072378A" w:rsidP="00AC53B5">
      <w:pPr>
        <w:pStyle w:val="ad"/>
      </w:pPr>
      <w:r w:rsidRPr="00F371C8">
        <w:t>Между странами ЕС сохраняются достаточно большие различия по ставкам налога на доходы корпораций.</w:t>
      </w:r>
      <w:r w:rsidR="00D34A0A" w:rsidRPr="00F371C8">
        <w:t xml:space="preserve"> Данные по ставкам налогов на доходы корпораций представлены в таблице </w:t>
      </w:r>
      <w:r w:rsidR="00605BD2" w:rsidRPr="00F371C8">
        <w:t>3</w:t>
      </w:r>
      <w:r w:rsidR="00D34A0A" w:rsidRPr="00F371C8">
        <w:t>.</w:t>
      </w:r>
    </w:p>
    <w:p w:rsidR="00D34A0A" w:rsidRPr="00F371C8" w:rsidRDefault="00D34A0A" w:rsidP="00AC53B5">
      <w:pPr>
        <w:pStyle w:val="ad"/>
      </w:pPr>
      <w:r w:rsidRPr="00F371C8">
        <w:t>Наличие такой дифференциации по ставкам на доходы корпораций, безусловно, является фактором, сдерживающим координацию бюджетной политики в рамках ЕС. Он предопределяет разные условия конкуренции в рамках сообщества и дополнительное перераспределение финансовых ресурсов.</w:t>
      </w:r>
    </w:p>
    <w:p w:rsidR="00D34A0A" w:rsidRPr="00F371C8" w:rsidRDefault="00D34A0A" w:rsidP="00AC53B5">
      <w:pPr>
        <w:pStyle w:val="ad"/>
      </w:pPr>
    </w:p>
    <w:p w:rsidR="007E5F51" w:rsidRPr="00F371C8" w:rsidRDefault="0072378A" w:rsidP="00AC53B5">
      <w:pPr>
        <w:pStyle w:val="ad"/>
      </w:pPr>
      <w:r w:rsidRPr="00F371C8">
        <w:t xml:space="preserve">Таблица </w:t>
      </w:r>
      <w:r w:rsidR="00955147" w:rsidRPr="00F371C8">
        <w:t>3</w:t>
      </w:r>
      <w:r w:rsidRPr="00F371C8">
        <w:t xml:space="preserve"> - Ставки налога на доходы корпораций</w:t>
      </w:r>
      <w:r w:rsidR="00F02169" w:rsidRPr="00F371C8">
        <w:t xml:space="preserve"> </w:t>
      </w:r>
      <w:r w:rsidRPr="00F371C8">
        <w:t>и налога на индивидуальные доходы в странах ЕС</w:t>
      </w:r>
      <w:r w:rsidR="00F406C0" w:rsidRPr="00F371C8">
        <w:t xml:space="preserve"> [</w:t>
      </w:r>
      <w:r w:rsidR="00955147" w:rsidRPr="00F371C8">
        <w:t>7</w:t>
      </w:r>
      <w:r w:rsidR="00F406C0" w:rsidRPr="00F371C8">
        <w:t>]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5"/>
        <w:gridCol w:w="1980"/>
        <w:gridCol w:w="4257"/>
      </w:tblGrid>
      <w:tr w:rsidR="0072378A" w:rsidRPr="00E01C10" w:rsidTr="00E01C10">
        <w:trPr>
          <w:trHeight w:val="607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Страны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Налог на доходы корпораций (%)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Налог на индивидуальные доходы (средняя ставка) (%)</w:t>
            </w:r>
          </w:p>
        </w:tc>
      </w:tr>
      <w:tr w:rsidR="0072378A" w:rsidRPr="00E01C10" w:rsidTr="00E01C10">
        <w:trPr>
          <w:trHeight w:val="330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Европейский союз в среднем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33,8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28,4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Австрия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34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32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Бельгия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39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40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Дания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32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35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Финляндия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29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27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Франция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41,7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35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Германия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37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31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Греция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40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15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Ирландия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24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27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Италия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37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34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Люксембург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33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11,2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Нидерланды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35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37,5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Португалия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32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25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Испания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35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25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Швеция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28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31</w:t>
            </w:r>
          </w:p>
        </w:tc>
      </w:tr>
      <w:tr w:rsidR="0072378A" w:rsidRPr="00E01C10" w:rsidTr="00E01C10">
        <w:trPr>
          <w:trHeight w:val="315"/>
        </w:trPr>
        <w:tc>
          <w:tcPr>
            <w:tcW w:w="2835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Великобритания</w:t>
            </w:r>
          </w:p>
        </w:tc>
        <w:tc>
          <w:tcPr>
            <w:tcW w:w="1980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30</w:t>
            </w:r>
          </w:p>
        </w:tc>
        <w:tc>
          <w:tcPr>
            <w:tcW w:w="4257" w:type="dxa"/>
            <w:shd w:val="clear" w:color="auto" w:fill="auto"/>
          </w:tcPr>
          <w:p w:rsidR="0072378A" w:rsidRPr="00F371C8" w:rsidRDefault="0072378A" w:rsidP="008B0DAF">
            <w:pPr>
              <w:pStyle w:val="ae"/>
            </w:pPr>
            <w:r w:rsidRPr="00F371C8">
              <w:t>20</w:t>
            </w:r>
          </w:p>
        </w:tc>
      </w:tr>
    </w:tbl>
    <w:p w:rsidR="008B0DAF" w:rsidRPr="00F371C8" w:rsidRDefault="008B0DAF" w:rsidP="00AC53B5">
      <w:pPr>
        <w:pStyle w:val="ad"/>
      </w:pPr>
    </w:p>
    <w:p w:rsidR="00C52AFA" w:rsidRPr="00F371C8" w:rsidRDefault="00C52AFA" w:rsidP="00AC53B5">
      <w:pPr>
        <w:pStyle w:val="ad"/>
      </w:pPr>
      <w:r w:rsidRPr="00F371C8">
        <w:t>Налог на индивидуальные доходы в ЕС значительно выше, чем в США и Японии - соответственно 28,4%, 15%, 10%. Ставки этого налога сильно различаются по странам Европейского союза. Максимальные ставки установлены в Бельгии - 40%, Дании - 35%, Франции - 35%; минимальные - в Люксембурге - 11,2%, Греции - 15%, Великобритании - 20%. Очевидно, что такая дифференциация является дополнительным фактором мобильности рабочей силы, прежде всего квалифицированной</w:t>
      </w:r>
      <w:r w:rsidR="00955147" w:rsidRPr="00F371C8">
        <w:t xml:space="preserve"> [7]</w:t>
      </w:r>
      <w:r w:rsidRPr="00F371C8">
        <w:t>.</w:t>
      </w:r>
    </w:p>
    <w:p w:rsidR="00970CC7" w:rsidRPr="00F371C8" w:rsidRDefault="004E67AD" w:rsidP="00AC53B5">
      <w:pPr>
        <w:pStyle w:val="ad"/>
      </w:pPr>
      <w:r w:rsidRPr="00F371C8">
        <w:t>Следует отметить, что сравнение лишь законодательно установленных ставок налога на корпорации не позволяет объективно оценить налоговое бремя конкретных стран. Это связано с использованием в законодательстве системы налоговых льгот и налоговых кредитов, а также с применением скрытых субсидий национальным производителям. Поэтому для объективной оценки налогового бремени следует проанализировать эффективную ставку налога на доходы корпораций. При ее расчете учитываются фактически предоставляемые налоговые льготы и другие преференции.</w:t>
      </w:r>
    </w:p>
    <w:p w:rsidR="008B0DAF" w:rsidRPr="00F371C8" w:rsidRDefault="008B0DAF" w:rsidP="00AC53B5">
      <w:pPr>
        <w:pStyle w:val="ad"/>
      </w:pPr>
    </w:p>
    <w:p w:rsidR="004E67AD" w:rsidRPr="00F371C8" w:rsidRDefault="008B0DAF" w:rsidP="00AC53B5">
      <w:pPr>
        <w:pStyle w:val="ad"/>
      </w:pPr>
      <w:r w:rsidRPr="00F371C8">
        <w:br w:type="page"/>
      </w:r>
      <w:r w:rsidR="004E67AD" w:rsidRPr="00F371C8">
        <w:t xml:space="preserve">Таблица </w:t>
      </w:r>
      <w:r w:rsidR="00D16B1A" w:rsidRPr="00F371C8">
        <w:t>4</w:t>
      </w:r>
      <w:r w:rsidR="004E67AD" w:rsidRPr="00F371C8">
        <w:t xml:space="preserve"> - Официальные и эффективные ставки</w:t>
      </w:r>
      <w:r w:rsidR="00F02169" w:rsidRPr="00F371C8">
        <w:t xml:space="preserve"> </w:t>
      </w:r>
      <w:r w:rsidR="004E67AD" w:rsidRPr="00F371C8">
        <w:t>налога на доходы корпораций в странах ЕС</w:t>
      </w:r>
      <w:r w:rsidR="00F406C0" w:rsidRPr="00F371C8">
        <w:t xml:space="preserve"> [</w:t>
      </w:r>
      <w:r w:rsidR="00D16B1A" w:rsidRPr="00F371C8">
        <w:t>7</w:t>
      </w:r>
      <w:r w:rsidR="00F406C0" w:rsidRPr="00F371C8">
        <w:t>]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4"/>
        <w:gridCol w:w="1231"/>
        <w:gridCol w:w="1440"/>
        <w:gridCol w:w="1520"/>
        <w:gridCol w:w="2755"/>
      </w:tblGrid>
      <w:tr w:rsidR="00AD6978" w:rsidRPr="00E01C10" w:rsidTr="00E01C10">
        <w:trPr>
          <w:trHeight w:val="139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Страны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Налог на доходы корпораций (%)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Эффективная ставка налога на доходы корпораций (%)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Разница между официальной и эффективной ставками (%)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Отклонения эффективной ставки конкретной страны от средней по ЕС эффективной ставки (%)</w:t>
            </w:r>
          </w:p>
        </w:tc>
      </w:tr>
      <w:tr w:rsidR="00AD6978" w:rsidRPr="00E01C10" w:rsidTr="00E01C10">
        <w:trPr>
          <w:trHeight w:val="416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Европейский союз в среднем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34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26,9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6,9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Австрия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34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17,7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16,3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-9,2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Бельгия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39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21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18,0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-5,9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Дания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32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29,4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2,6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2,5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Финляндия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29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29,8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-0,8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2,9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Франция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41,7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32,8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8,9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5,9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Германия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37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38,5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-1,5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11,6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Греция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40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20,9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19,1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-6,0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Ирландия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24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13,9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10,1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-13,0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Италия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37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35,3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1,7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8,4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Люксембург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33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34,1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-1,1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7,2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Нидерланды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35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31,8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3,2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4,9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Португалия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32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17,2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14,8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-9,7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Испания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35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24,1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10,9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-2,8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Швеция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28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27,5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0,5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0,6</w:t>
            </w:r>
          </w:p>
        </w:tc>
      </w:tr>
      <w:tr w:rsidR="00AD6978" w:rsidRPr="00E01C10" w:rsidTr="00E01C10">
        <w:trPr>
          <w:trHeight w:val="315"/>
        </w:trPr>
        <w:tc>
          <w:tcPr>
            <w:tcW w:w="1984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Великобритания</w:t>
            </w:r>
          </w:p>
        </w:tc>
        <w:tc>
          <w:tcPr>
            <w:tcW w:w="1231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30</w:t>
            </w:r>
          </w:p>
        </w:tc>
        <w:tc>
          <w:tcPr>
            <w:tcW w:w="144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29</w:t>
            </w:r>
          </w:p>
        </w:tc>
        <w:tc>
          <w:tcPr>
            <w:tcW w:w="1520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1,0</w:t>
            </w:r>
          </w:p>
        </w:tc>
        <w:tc>
          <w:tcPr>
            <w:tcW w:w="2755" w:type="dxa"/>
            <w:shd w:val="clear" w:color="auto" w:fill="auto"/>
          </w:tcPr>
          <w:p w:rsidR="00AD6978" w:rsidRPr="00F371C8" w:rsidRDefault="00AD6978" w:rsidP="008B0DAF">
            <w:pPr>
              <w:pStyle w:val="ae"/>
            </w:pPr>
            <w:r w:rsidRPr="00F371C8">
              <w:t>2,1</w:t>
            </w:r>
          </w:p>
        </w:tc>
      </w:tr>
    </w:tbl>
    <w:p w:rsidR="008B0DAF" w:rsidRPr="00F371C8" w:rsidRDefault="008B0DAF" w:rsidP="00AC53B5">
      <w:pPr>
        <w:pStyle w:val="ad"/>
      </w:pPr>
    </w:p>
    <w:p w:rsidR="00F17BA6" w:rsidRPr="00F371C8" w:rsidRDefault="002969DE" w:rsidP="00AC53B5">
      <w:pPr>
        <w:pStyle w:val="ad"/>
      </w:pPr>
      <w:r w:rsidRPr="00F371C8">
        <w:t xml:space="preserve">Данные, приведенные в таблице </w:t>
      </w:r>
      <w:r w:rsidR="00F47BF1" w:rsidRPr="00F371C8">
        <w:t>4</w:t>
      </w:r>
      <w:r w:rsidRPr="00F371C8">
        <w:t xml:space="preserve"> свидетельствуют о том, что ряд стран-членов ЕС, в частности, Португалия, Австрия, Бельгия, Италия, Испания, Германия активно используют налоговые префенции для усиления конкурентоспособности национальной промышленности.</w:t>
      </w:r>
      <w:r w:rsidR="00F17BA6" w:rsidRPr="00F371C8">
        <w:t xml:space="preserve"> Из таблицы 7 также следует, что величина эффективной ставки налога на доходы корпораций значительно отклоняется средней по ЕС. Самое низкое значение этой ставки отмечается в Ирландии (-13% от средней по ЕС), а также в Португалии (-9,7%) и Австрии (-9,2%). Ее самые высокие значения - в Германии (+11,6% к средней по ЕС), Италии (+8,4%), Люксембурге (+7,2%)</w:t>
      </w:r>
      <w:r w:rsidR="00B9360D" w:rsidRPr="00F371C8">
        <w:t xml:space="preserve"> [7]</w:t>
      </w:r>
      <w:r w:rsidR="00F17BA6" w:rsidRPr="00F371C8">
        <w:t>.</w:t>
      </w:r>
    </w:p>
    <w:p w:rsidR="003922EF" w:rsidRPr="00F371C8" w:rsidRDefault="005D482C" w:rsidP="00AC53B5">
      <w:pPr>
        <w:pStyle w:val="ad"/>
      </w:pPr>
      <w:r w:rsidRPr="00F371C8">
        <w:t>Одна из важных текущих проблем ЕС - обложение НДС услуг финансового сектора экономики. Объем этих услуг оценивается в 3,5% от ВВП союза. В настоящее время банковские страховые и банковские операции, включая сделки с валютой, освобождены в странах ЕС от НДС.</w:t>
      </w:r>
    </w:p>
    <w:p w:rsidR="008B0DAF" w:rsidRPr="00F371C8" w:rsidRDefault="008B0DAF" w:rsidP="00AC53B5">
      <w:pPr>
        <w:pStyle w:val="ad"/>
      </w:pPr>
    </w:p>
    <w:p w:rsidR="005D482C" w:rsidRPr="00F371C8" w:rsidRDefault="005D482C" w:rsidP="00AC53B5">
      <w:pPr>
        <w:pStyle w:val="ad"/>
      </w:pPr>
      <w:r w:rsidRPr="00F371C8">
        <w:t xml:space="preserve">Таблица </w:t>
      </w:r>
      <w:r w:rsidR="00B9360D" w:rsidRPr="00F371C8">
        <w:t>5</w:t>
      </w:r>
      <w:r w:rsidRPr="00F371C8">
        <w:t xml:space="preserve"> - Ставки НДС, применяемые в странах ЕС</w:t>
      </w:r>
      <w:r w:rsidR="00035EE4" w:rsidRPr="00F371C8">
        <w:t xml:space="preserve"> [</w:t>
      </w:r>
      <w:r w:rsidR="00B9360D" w:rsidRPr="00F371C8">
        <w:t>7</w:t>
      </w:r>
      <w:r w:rsidR="00035EE4" w:rsidRPr="00F371C8">
        <w:t>]</w:t>
      </w:r>
    </w:p>
    <w:tbl>
      <w:tblPr>
        <w:tblW w:w="68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40"/>
        <w:gridCol w:w="1300"/>
        <w:gridCol w:w="2100"/>
        <w:gridCol w:w="1300"/>
      </w:tblGrid>
      <w:tr w:rsidR="0075060E" w:rsidRPr="00E01C10" w:rsidTr="00E01C10">
        <w:trPr>
          <w:trHeight w:val="270"/>
        </w:trPr>
        <w:tc>
          <w:tcPr>
            <w:tcW w:w="214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Страна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Ставка %</w:t>
            </w:r>
          </w:p>
        </w:tc>
        <w:tc>
          <w:tcPr>
            <w:tcW w:w="21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Страна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Ставка %</w:t>
            </w:r>
          </w:p>
        </w:tc>
      </w:tr>
      <w:tr w:rsidR="0075060E" w:rsidRPr="00E01C10" w:rsidTr="00E01C10">
        <w:trPr>
          <w:trHeight w:val="330"/>
        </w:trPr>
        <w:tc>
          <w:tcPr>
            <w:tcW w:w="214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Австрия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20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Ирландия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21</w:t>
            </w:r>
          </w:p>
        </w:tc>
      </w:tr>
      <w:tr w:rsidR="0075060E" w:rsidRPr="00E01C10" w:rsidTr="00E01C10">
        <w:trPr>
          <w:trHeight w:val="315"/>
        </w:trPr>
        <w:tc>
          <w:tcPr>
            <w:tcW w:w="214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Бельгия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21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Италия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20</w:t>
            </w:r>
          </w:p>
        </w:tc>
      </w:tr>
      <w:tr w:rsidR="0075060E" w:rsidRPr="00E01C10" w:rsidTr="00E01C10">
        <w:trPr>
          <w:trHeight w:val="315"/>
        </w:trPr>
        <w:tc>
          <w:tcPr>
            <w:tcW w:w="214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Дания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25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Люксембург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15</w:t>
            </w:r>
          </w:p>
        </w:tc>
      </w:tr>
      <w:tr w:rsidR="0075060E" w:rsidRPr="00E01C10" w:rsidTr="00E01C10">
        <w:trPr>
          <w:trHeight w:val="315"/>
        </w:trPr>
        <w:tc>
          <w:tcPr>
            <w:tcW w:w="214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Финляндия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22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Нидерланды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17,5</w:t>
            </w:r>
          </w:p>
        </w:tc>
      </w:tr>
      <w:tr w:rsidR="0075060E" w:rsidRPr="00E01C10" w:rsidTr="00E01C10">
        <w:trPr>
          <w:trHeight w:val="315"/>
        </w:trPr>
        <w:tc>
          <w:tcPr>
            <w:tcW w:w="214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Франция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20,6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Португалия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17</w:t>
            </w:r>
          </w:p>
        </w:tc>
      </w:tr>
      <w:tr w:rsidR="0075060E" w:rsidRPr="00E01C10" w:rsidTr="00E01C10">
        <w:trPr>
          <w:trHeight w:val="315"/>
        </w:trPr>
        <w:tc>
          <w:tcPr>
            <w:tcW w:w="214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Германия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16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Испания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16</w:t>
            </w:r>
          </w:p>
        </w:tc>
      </w:tr>
      <w:tr w:rsidR="0075060E" w:rsidRPr="00E01C10" w:rsidTr="00E01C10">
        <w:trPr>
          <w:trHeight w:val="315"/>
        </w:trPr>
        <w:tc>
          <w:tcPr>
            <w:tcW w:w="214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Греция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18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Швеция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25</w:t>
            </w:r>
          </w:p>
        </w:tc>
      </w:tr>
      <w:tr w:rsidR="0075060E" w:rsidRPr="00E01C10" w:rsidTr="00E01C10">
        <w:trPr>
          <w:trHeight w:val="315"/>
        </w:trPr>
        <w:tc>
          <w:tcPr>
            <w:tcW w:w="3440" w:type="dxa"/>
            <w:gridSpan w:val="2"/>
            <w:shd w:val="clear" w:color="auto" w:fill="auto"/>
            <w:noWrap/>
          </w:tcPr>
          <w:p w:rsidR="0075060E" w:rsidRPr="00F371C8" w:rsidRDefault="00AC53B5" w:rsidP="008B0DAF">
            <w:pPr>
              <w:pStyle w:val="ae"/>
            </w:pPr>
            <w:r w:rsidRPr="00F371C8">
              <w:t xml:space="preserve"> </w:t>
            </w:r>
          </w:p>
        </w:tc>
        <w:tc>
          <w:tcPr>
            <w:tcW w:w="2100" w:type="dxa"/>
            <w:shd w:val="clear" w:color="auto" w:fill="auto"/>
          </w:tcPr>
          <w:p w:rsidR="0075060E" w:rsidRPr="00F371C8" w:rsidRDefault="0075060E" w:rsidP="008B0DAF">
            <w:pPr>
              <w:pStyle w:val="ae"/>
            </w:pPr>
            <w:r w:rsidRPr="00F371C8">
              <w:t>Великобритания</w:t>
            </w:r>
          </w:p>
        </w:tc>
        <w:tc>
          <w:tcPr>
            <w:tcW w:w="1300" w:type="dxa"/>
            <w:shd w:val="clear" w:color="auto" w:fill="auto"/>
            <w:noWrap/>
          </w:tcPr>
          <w:p w:rsidR="0075060E" w:rsidRPr="00F371C8" w:rsidRDefault="0075060E" w:rsidP="008B0DAF">
            <w:pPr>
              <w:pStyle w:val="ae"/>
            </w:pPr>
            <w:r w:rsidRPr="00F371C8">
              <w:t>17,5</w:t>
            </w:r>
          </w:p>
        </w:tc>
      </w:tr>
    </w:tbl>
    <w:p w:rsidR="008B0DAF" w:rsidRPr="00F371C8" w:rsidRDefault="008B0DAF" w:rsidP="00AC53B5">
      <w:pPr>
        <w:pStyle w:val="ad"/>
      </w:pPr>
    </w:p>
    <w:p w:rsidR="00211D74" w:rsidRPr="00F371C8" w:rsidRDefault="00267342" w:rsidP="00AC53B5">
      <w:pPr>
        <w:pStyle w:val="ad"/>
      </w:pPr>
      <w:r w:rsidRPr="00F371C8">
        <w:t xml:space="preserve">Процесс координации налоговой политики в рамках ЕС сталкивается с определенными трудностями. Страны с высокими налогами считают, что для обеспечения единых подходов к налогам страны с низким уровнем обложения должны пойти на существенное повышение ставок. И напротив, страны с низкими налогами придерживаются мнения, что именно достигнутый ими уровень обложения должен стать ориентиром </w:t>
      </w:r>
      <w:r w:rsidR="00211D74" w:rsidRPr="00F371C8">
        <w:t>для Европейского союза в целом.</w:t>
      </w:r>
    </w:p>
    <w:p w:rsidR="00267342" w:rsidRPr="00F371C8" w:rsidRDefault="00267342" w:rsidP="00AC53B5">
      <w:pPr>
        <w:pStyle w:val="ad"/>
      </w:pPr>
      <w:r w:rsidRPr="00F371C8">
        <w:t>Определенным достижением на пути обеспечения координации налогообложения в рамках ЕС стала договоренность, зафиксированная в Кодексе поведения стран-участниц, о недопустимости конкуренции между ними в налоговой сфере. Особенностями современного этапа координации налоговой политики стран-членов ЕС является достижение договоренностей об отказе от введения новых налогов, тенденция к унификации ставок налога на корпорации и налога на индивидуальные доходы. Нерешенными остаются вопросы о введении единых для стран ЕС ставках НДС и о единой методик</w:t>
      </w:r>
      <w:r w:rsidR="00E31010" w:rsidRPr="00F371C8">
        <w:t>е</w:t>
      </w:r>
      <w:r w:rsidRPr="00F371C8">
        <w:t xml:space="preserve"> расчета этого налога.</w:t>
      </w:r>
    </w:p>
    <w:p w:rsidR="00934C58" w:rsidRPr="00F371C8" w:rsidRDefault="00934C58" w:rsidP="00AC53B5">
      <w:pPr>
        <w:pStyle w:val="ad"/>
      </w:pPr>
      <w:r w:rsidRPr="00F371C8">
        <w:t xml:space="preserve">Данные, приведенные в таблицы </w:t>
      </w:r>
      <w:r w:rsidR="003B325A" w:rsidRPr="00F371C8">
        <w:t>6</w:t>
      </w:r>
      <w:r w:rsidRPr="00F371C8">
        <w:t xml:space="preserve"> свидетельствуют о том, что установленные ЕС «финансовые правила» в общем своем результате не соблюдаются. Так дефицит государственного бюджета в странах ЕС в 2005 году был близок к критическим 3 %. А размер государственных долгов в своей совокупности по странам ЕС превышает установленные 60%.</w:t>
      </w:r>
    </w:p>
    <w:p w:rsidR="008B0DAF" w:rsidRPr="00F371C8" w:rsidRDefault="008B0DAF" w:rsidP="00AC53B5">
      <w:pPr>
        <w:pStyle w:val="ad"/>
      </w:pPr>
    </w:p>
    <w:p w:rsidR="00A54743" w:rsidRPr="00F371C8" w:rsidRDefault="00A17BD9" w:rsidP="00AC53B5">
      <w:pPr>
        <w:pStyle w:val="ad"/>
      </w:pPr>
      <w:r w:rsidRPr="00F371C8">
        <w:t xml:space="preserve">Таблица </w:t>
      </w:r>
      <w:r w:rsidR="00B9360D" w:rsidRPr="00F371C8">
        <w:t>6</w:t>
      </w:r>
      <w:r w:rsidRPr="00F371C8">
        <w:t xml:space="preserve"> </w:t>
      </w:r>
      <w:r w:rsidR="003168C0" w:rsidRPr="00F371C8">
        <w:t>–</w:t>
      </w:r>
      <w:r w:rsidRPr="00F371C8">
        <w:t xml:space="preserve"> </w:t>
      </w:r>
      <w:r w:rsidR="003168C0" w:rsidRPr="00F371C8">
        <w:t>Данные о состоянии ВВП, дефиците госбюджета,</w:t>
      </w:r>
      <w:r w:rsidR="00AC53B5" w:rsidRPr="00F371C8">
        <w:t xml:space="preserve"> </w:t>
      </w:r>
      <w:r w:rsidR="003168C0" w:rsidRPr="00F371C8">
        <w:t>горасходах и госдоходах и долгах в Евросоюзе</w:t>
      </w:r>
      <w:r w:rsidR="008B1059" w:rsidRPr="00F371C8">
        <w:t xml:space="preserve"> [</w:t>
      </w:r>
      <w:r w:rsidR="00B9360D" w:rsidRPr="00F371C8">
        <w:t>8</w:t>
      </w:r>
      <w:r w:rsidR="008B1059" w:rsidRPr="00F371C8">
        <w:t>]</w:t>
      </w:r>
    </w:p>
    <w:tbl>
      <w:tblPr>
        <w:tblW w:w="87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00"/>
        <w:gridCol w:w="1087"/>
        <w:gridCol w:w="1134"/>
        <w:gridCol w:w="1134"/>
        <w:gridCol w:w="1134"/>
      </w:tblGrid>
      <w:tr w:rsidR="003168C0" w:rsidRPr="00E01C10" w:rsidTr="00E01C10">
        <w:trPr>
          <w:trHeight w:val="255"/>
        </w:trPr>
        <w:tc>
          <w:tcPr>
            <w:tcW w:w="4300" w:type="dxa"/>
            <w:shd w:val="clear" w:color="auto" w:fill="auto"/>
          </w:tcPr>
          <w:p w:rsidR="003168C0" w:rsidRPr="00F371C8" w:rsidRDefault="00415521" w:rsidP="008B0DAF">
            <w:pPr>
              <w:pStyle w:val="ae"/>
            </w:pPr>
            <w:r w:rsidRPr="00F371C8">
              <w:t>Данные</w:t>
            </w:r>
            <w:r w:rsidR="004C41E8" w:rsidRPr="00F371C8">
              <w:t>/ год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2005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2006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2007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2008</w:t>
            </w:r>
          </w:p>
        </w:tc>
      </w:tr>
      <w:tr w:rsidR="003168C0" w:rsidRPr="00E01C10" w:rsidTr="00E01C10">
        <w:trPr>
          <w:trHeight w:val="315"/>
        </w:trPr>
        <w:tc>
          <w:tcPr>
            <w:tcW w:w="8789" w:type="dxa"/>
            <w:gridSpan w:val="5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 xml:space="preserve">Eurozone (EZ16) 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ВВП по рыночным ценам (млн. евро)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8145964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8554969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9002114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9265371</w:t>
            </w:r>
          </w:p>
        </w:tc>
      </w:tr>
      <w:tr w:rsidR="003168C0" w:rsidRPr="00E01C10" w:rsidTr="00E01C10">
        <w:trPr>
          <w:trHeight w:val="271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 xml:space="preserve">Дефицит (-) / избыток (+) </w:t>
            </w:r>
            <w:r w:rsidR="00184819" w:rsidRPr="00F371C8">
              <w:t>бюджета</w:t>
            </w:r>
            <w:r w:rsidRPr="00F371C8">
              <w:t xml:space="preserve"> (млн. евро)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-204449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-110759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-52496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-182258</w:t>
            </w:r>
          </w:p>
        </w:tc>
      </w:tr>
      <w:tr w:rsidR="003168C0" w:rsidRPr="00E01C10" w:rsidTr="00E01C10">
        <w:trPr>
          <w:trHeight w:val="361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Дефицит (-) / избыток (+)</w:t>
            </w:r>
            <w:r w:rsidR="00184819" w:rsidRPr="00F371C8">
              <w:t xml:space="preserve"> бюджета </w:t>
            </w:r>
            <w:r w:rsidRPr="00F371C8">
              <w:t>(в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-2,5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-1,3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-0,6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-2,0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Госрасходы ( 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47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47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47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Госдоходы ( 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45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Госдолги (млн. евро)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5710414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5841004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5938792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6421658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Госдолги ( 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70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68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69</w:t>
            </w:r>
          </w:p>
        </w:tc>
      </w:tr>
      <w:tr w:rsidR="003168C0" w:rsidRPr="00E01C10" w:rsidTr="00E01C10">
        <w:trPr>
          <w:trHeight w:val="259"/>
        </w:trPr>
        <w:tc>
          <w:tcPr>
            <w:tcW w:w="8789" w:type="dxa"/>
            <w:gridSpan w:val="5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 xml:space="preserve">EU27 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ВВП (млн. евро)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11061969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11683430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12362471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12503134</w:t>
            </w:r>
          </w:p>
        </w:tc>
      </w:tr>
      <w:tr w:rsidR="003168C0" w:rsidRPr="00E01C10" w:rsidTr="00E01C10">
        <w:trPr>
          <w:trHeight w:val="256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Дефицит (-) / избыток (+)</w:t>
            </w:r>
            <w:r w:rsidR="00184819" w:rsidRPr="00F371C8">
              <w:t xml:space="preserve"> бюджета </w:t>
            </w:r>
            <w:r w:rsidRPr="00F371C8">
              <w:t>(млн. евро)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-269702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-165676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-99385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-286815</w:t>
            </w:r>
          </w:p>
        </w:tc>
      </w:tr>
      <w:tr w:rsidR="003168C0" w:rsidRPr="00E01C10" w:rsidTr="00E01C10">
        <w:trPr>
          <w:trHeight w:val="331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Дефицит (-) / избыток (+)</w:t>
            </w:r>
            <w:r w:rsidR="00184819" w:rsidRPr="00F371C8">
              <w:t xml:space="preserve"> бюджета </w:t>
            </w:r>
            <w:r w:rsidRPr="00F371C8">
              <w:t>(в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-2,4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-1,4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-0,8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-2,3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Госрасходы ( 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47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47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Госдоходы ( 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44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45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45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Госдолги (млн. евро)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6937297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7163806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7252930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7690881</w:t>
            </w:r>
          </w:p>
        </w:tc>
      </w:tr>
      <w:tr w:rsidR="003168C0" w:rsidRPr="00E01C10" w:rsidTr="00E01C10">
        <w:trPr>
          <w:trHeight w:val="270"/>
        </w:trPr>
        <w:tc>
          <w:tcPr>
            <w:tcW w:w="4300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Госдолги ( в % к ВВП)</w:t>
            </w:r>
          </w:p>
        </w:tc>
        <w:tc>
          <w:tcPr>
            <w:tcW w:w="1087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63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61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59</w:t>
            </w:r>
          </w:p>
        </w:tc>
        <w:tc>
          <w:tcPr>
            <w:tcW w:w="1134" w:type="dxa"/>
            <w:shd w:val="clear" w:color="auto" w:fill="auto"/>
          </w:tcPr>
          <w:p w:rsidR="003168C0" w:rsidRPr="00F371C8" w:rsidRDefault="003168C0" w:rsidP="008B0DAF">
            <w:pPr>
              <w:pStyle w:val="ae"/>
            </w:pPr>
            <w:r w:rsidRPr="00F371C8">
              <w:t>62</w:t>
            </w:r>
          </w:p>
        </w:tc>
      </w:tr>
    </w:tbl>
    <w:p w:rsidR="00D90B98" w:rsidRPr="00F371C8" w:rsidRDefault="00D90B98" w:rsidP="00AC53B5">
      <w:pPr>
        <w:pStyle w:val="ad"/>
      </w:pPr>
    </w:p>
    <w:p w:rsidR="00F02169" w:rsidRPr="00F371C8" w:rsidRDefault="00C142DF" w:rsidP="00AC53B5">
      <w:pPr>
        <w:pStyle w:val="ad"/>
      </w:pPr>
      <w:r w:rsidRPr="00F371C8">
        <w:t>Статистика по странам выглядит следующим образом [</w:t>
      </w:r>
      <w:r w:rsidR="00B9360D" w:rsidRPr="00F371C8">
        <w:t>8</w:t>
      </w:r>
      <w:r w:rsidRPr="00F371C8">
        <w:t>]:</w:t>
      </w:r>
    </w:p>
    <w:p w:rsidR="00F02169" w:rsidRPr="00F371C8" w:rsidRDefault="00E057B2" w:rsidP="00AC53B5">
      <w:pPr>
        <w:pStyle w:val="ad"/>
      </w:pPr>
      <w:r w:rsidRPr="00F371C8">
        <w:t>В 2008 году регистрировались наивысшие дефициты гос</w:t>
      </w:r>
      <w:r w:rsidR="008A5DEB" w:rsidRPr="00F371C8">
        <w:t>долга</w:t>
      </w:r>
      <w:r w:rsidRPr="00F371C8">
        <w:t xml:space="preserve"> как процент ВВП Греции (-7,7%), Ирландии (-7,2%), Румынии (-5,5%), Соединенного Королевства Великобритании и Северной Ирландии (-5,0%), Мальты (-4,7%), Испании (-4,1%), Латвии (-4,1%), Венгрии (-3,8%), Польши (-3,6%), Франции (-3,4%) и Литвы (-3,2%).</w:t>
      </w:r>
    </w:p>
    <w:p w:rsidR="00E057B2" w:rsidRPr="00F371C8" w:rsidRDefault="00463A1C" w:rsidP="00AC53B5">
      <w:pPr>
        <w:pStyle w:val="ad"/>
      </w:pPr>
      <w:r w:rsidRPr="00F371C8">
        <w:t xml:space="preserve">Восемь </w:t>
      </w:r>
      <w:r w:rsidR="00E057B2" w:rsidRPr="00F371C8">
        <w:t>государств-участников регистрировали избыток гос</w:t>
      </w:r>
      <w:r w:rsidR="008A5DEB" w:rsidRPr="00F371C8">
        <w:t>долга</w:t>
      </w:r>
      <w:r w:rsidR="00E057B2" w:rsidRPr="00F371C8">
        <w:t xml:space="preserve"> в 2008 году: Финляндия (+4,5%), Дания (+3,4%), Люксембург (+2,5%), Швеция (+2,5%), Болгария (+1,8%), Кипр (+0,9%), Нидерланды (+0,7%) и Германия (0,0%). В целом </w:t>
      </w:r>
      <w:r w:rsidRPr="00F371C8">
        <w:t>четыре</w:t>
      </w:r>
      <w:r w:rsidR="00E057B2" w:rsidRPr="00F371C8">
        <w:t xml:space="preserve"> государства-участника регистрировали улучшение сальдо финансирования в сравнении с ВВП в 2008 году по сравнению с 2007 и 23 государствами-участниками ухудшение.</w:t>
      </w:r>
    </w:p>
    <w:p w:rsidR="00F02169" w:rsidRPr="00F371C8" w:rsidRDefault="00E057B2" w:rsidP="00AC53B5">
      <w:pPr>
        <w:pStyle w:val="ad"/>
      </w:pPr>
      <w:r w:rsidRPr="00F371C8">
        <w:t>В конце 2008 самые низкие коэффициенты задолженности (</w:t>
      </w:r>
      <w:r w:rsidR="008A5DEB" w:rsidRPr="00F371C8">
        <w:t>госдолг</w:t>
      </w:r>
      <w:r w:rsidRPr="00F371C8">
        <w:t xml:space="preserve"> в сравнении с ВВП) регистрировались в Эстонии (4,6%), Люксембурге (13,5%), Румынии (13,6%), Болгарии (14,1%) и Литве (15,6%).</w:t>
      </w:r>
    </w:p>
    <w:p w:rsidR="00E057B2" w:rsidRPr="00F371C8" w:rsidRDefault="00C142DF" w:rsidP="00AC53B5">
      <w:pPr>
        <w:pStyle w:val="ad"/>
      </w:pPr>
      <w:r w:rsidRPr="00F371C8">
        <w:t>Девять</w:t>
      </w:r>
      <w:r w:rsidR="00E057B2" w:rsidRPr="00F371C8">
        <w:t xml:space="preserve"> государств-участников обнаруживали в 2008 году коэффициент задолженности больше чем 60% ВВП: Италия (105,8%), Греция (99,2%), Бельгия (89,8%), Венгрия (72,9%), Франция (67,4%), Португалия (66,3%), Германия (65,9%), Мальта (63,8%) и Австрия (62,6%).</w:t>
      </w:r>
    </w:p>
    <w:p w:rsidR="00E057B2" w:rsidRPr="00F371C8" w:rsidRDefault="008A5DEB" w:rsidP="00AC53B5">
      <w:pPr>
        <w:pStyle w:val="ad"/>
      </w:pPr>
      <w:r w:rsidRPr="00F371C8">
        <w:t>Государственные р</w:t>
      </w:r>
      <w:r w:rsidR="00E057B2" w:rsidRPr="00F371C8">
        <w:t xml:space="preserve">асходы составляли в 2008 </w:t>
      </w:r>
      <w:r w:rsidR="00CB5F2B" w:rsidRPr="00F371C8">
        <w:t xml:space="preserve">году </w:t>
      </w:r>
      <w:r w:rsidR="00E057B2" w:rsidRPr="00F371C8">
        <w:t xml:space="preserve">в </w:t>
      </w:r>
      <w:r w:rsidR="00CB5F2B" w:rsidRPr="00F371C8">
        <w:t>Е</w:t>
      </w:r>
      <w:r w:rsidR="00E057B2" w:rsidRPr="00F371C8">
        <w:t xml:space="preserve">врозоне 46,8% и </w:t>
      </w:r>
      <w:r w:rsidRPr="00F371C8">
        <w:t xml:space="preserve">государственные </w:t>
      </w:r>
      <w:r w:rsidR="00E057B2" w:rsidRPr="00F371C8">
        <w:t xml:space="preserve">доходы 44,8% от ВВП. Соответствующие </w:t>
      </w:r>
      <w:r w:rsidRPr="00F371C8">
        <w:t>данные</w:t>
      </w:r>
      <w:r w:rsidR="00E057B2" w:rsidRPr="00F371C8">
        <w:t xml:space="preserve"> для EU27 </w:t>
      </w:r>
      <w:r w:rsidRPr="00F371C8">
        <w:t>были</w:t>
      </w:r>
      <w:r w:rsidR="00E057B2" w:rsidRPr="00F371C8">
        <w:t xml:space="preserve"> 46,8% </w:t>
      </w:r>
      <w:r w:rsidRPr="00F371C8">
        <w:t>и</w:t>
      </w:r>
      <w:r w:rsidR="00E057B2" w:rsidRPr="00F371C8">
        <w:t xml:space="preserve"> 44,6%. Между 2007 и 2008 расходы государства в сравнении с ВВП выросли в обеих областях, в то время как доходы государства в сравнении с ВВП </w:t>
      </w:r>
      <w:r w:rsidR="001D3121" w:rsidRPr="00F371C8">
        <w:t>увеличились</w:t>
      </w:r>
      <w:r w:rsidR="00E057B2" w:rsidRPr="00F371C8">
        <w:t>.</w:t>
      </w:r>
    </w:p>
    <w:p w:rsidR="007E5F51" w:rsidRPr="00F371C8" w:rsidRDefault="001A4679" w:rsidP="00AC53B5">
      <w:pPr>
        <w:pStyle w:val="ad"/>
      </w:pPr>
      <w:r w:rsidRPr="00F371C8">
        <w:t xml:space="preserve">В приложении </w:t>
      </w:r>
      <w:r w:rsidR="00B9360D" w:rsidRPr="00F371C8">
        <w:t>3</w:t>
      </w:r>
      <w:r w:rsidRPr="00F371C8">
        <w:t xml:space="preserve"> приведены данные по ВВП </w:t>
      </w:r>
      <w:r w:rsidR="00D3177A" w:rsidRPr="00F371C8">
        <w:t>(дефициту/ избытку и задолженности в странах ЕС</w:t>
      </w:r>
      <w:r w:rsidR="00C3761D" w:rsidRPr="00F371C8">
        <w:t>)</w:t>
      </w:r>
      <w:r w:rsidR="00D3177A" w:rsidRPr="00F371C8">
        <w:t>.</w:t>
      </w:r>
      <w:r w:rsidR="00C3761D" w:rsidRPr="00F371C8">
        <w:t xml:space="preserve"> </w:t>
      </w:r>
      <w:r w:rsidR="007D5580" w:rsidRPr="00F371C8">
        <w:t>Исходя из представленных Евростатом данных</w:t>
      </w:r>
      <w:r w:rsidR="00C3761D" w:rsidRPr="00F371C8">
        <w:t>,</w:t>
      </w:r>
      <w:r w:rsidR="007D5580" w:rsidRPr="00F371C8">
        <w:t xml:space="preserve"> переход многих стран к участию в ЕС оказался сложным. И трудности </w:t>
      </w:r>
      <w:r w:rsidR="004F1F5A" w:rsidRPr="00F371C8">
        <w:t>были и у стран с высоким экономическим уровнем развития.</w:t>
      </w:r>
    </w:p>
    <w:p w:rsidR="00F02169" w:rsidRPr="00F371C8" w:rsidRDefault="007E5F51" w:rsidP="00AC53B5">
      <w:pPr>
        <w:pStyle w:val="ad"/>
      </w:pPr>
      <w:r w:rsidRPr="00F371C8">
        <w:t>На современном этапе</w:t>
      </w:r>
      <w:r w:rsidR="00F02169" w:rsidRPr="00F371C8">
        <w:t xml:space="preserve"> </w:t>
      </w:r>
      <w:r w:rsidRPr="00F371C8">
        <w:t>страны-члены ЕС представлены странами с разным уровнем развития и разной скоростью развития.</w:t>
      </w:r>
    </w:p>
    <w:p w:rsidR="00046ED7" w:rsidRPr="00F371C8" w:rsidRDefault="00046ED7" w:rsidP="00AC53B5">
      <w:pPr>
        <w:pStyle w:val="ad"/>
      </w:pPr>
      <w:r w:rsidRPr="00F371C8">
        <w:t xml:space="preserve">В мае </w:t>
      </w:r>
      <w:smartTag w:uri="urn:schemas-microsoft-com:office:smarttags" w:element="metricconverter">
        <w:smartTagPr>
          <w:attr w:name="ProductID" w:val="2009 г"/>
        </w:smartTagPr>
        <w:r w:rsidRPr="00F371C8">
          <w:t>2009 г</w:t>
        </w:r>
      </w:smartTag>
      <w:r w:rsidRPr="00F371C8">
        <w:t>. на Брюссельском саммите утверждена стратегия развития Европы на ближайшее десятилетие «Европа-2020»</w:t>
      </w:r>
      <w:r w:rsidR="00F6629B" w:rsidRPr="00F371C8">
        <w:t>.</w:t>
      </w:r>
    </w:p>
    <w:p w:rsidR="00046ED7" w:rsidRPr="00F371C8" w:rsidRDefault="00046ED7" w:rsidP="00AC53B5">
      <w:pPr>
        <w:pStyle w:val="ad"/>
      </w:pPr>
      <w:r w:rsidRPr="00F371C8">
        <w:t>Установка национальных целей в рамках общеевропейской стратегии развития является принципиально новым элементом в европейско</w:t>
      </w:r>
      <w:r w:rsidR="00B9360D" w:rsidRPr="00F371C8">
        <w:t>й</w:t>
      </w:r>
      <w:r w:rsidRPr="00F371C8">
        <w:t xml:space="preserve"> систем</w:t>
      </w:r>
      <w:r w:rsidR="00B9360D" w:rsidRPr="00F371C8">
        <w:t>е</w:t>
      </w:r>
      <w:r w:rsidRPr="00F371C8">
        <w:t>. Таким образом, Европейский совет (саммит) признал, что у государств Европы существуют специфические условия и задачи в рамках воплощения в жизнь общеевропейской стратегии развития.</w:t>
      </w:r>
    </w:p>
    <w:p w:rsidR="00046ED7" w:rsidRPr="00F371C8" w:rsidRDefault="00046ED7" w:rsidP="00AC53B5">
      <w:pPr>
        <w:pStyle w:val="ad"/>
      </w:pPr>
      <w:r w:rsidRPr="00F371C8">
        <w:t>Намерение создать механизм «разноскоростной» реализации экономических задач Европы - это прямой урок, вынесенный из провала предыдущей десятилетней программы развития - Лиссабонской стратегии, принятой на период 2000-2010 гг. Ее приоритеты были очень похожи на утвержденные сегодня, а неудача в ее реализации в значительной степени была вызвана отсутствием координации усилий между европейскими странами.</w:t>
      </w:r>
    </w:p>
    <w:p w:rsidR="00046ED7" w:rsidRPr="00F371C8" w:rsidRDefault="00046ED7" w:rsidP="00AC53B5">
      <w:pPr>
        <w:pStyle w:val="ad"/>
      </w:pPr>
    </w:p>
    <w:p w:rsidR="00F477A4" w:rsidRPr="00F371C8" w:rsidRDefault="00D90B98" w:rsidP="00AC53B5">
      <w:pPr>
        <w:pStyle w:val="ad"/>
      </w:pPr>
      <w:bookmarkStart w:id="17" w:name="_Toc259564165"/>
      <w:bookmarkStart w:id="18" w:name="_Toc259564215"/>
      <w:bookmarkStart w:id="19" w:name="_Toc259564340"/>
      <w:r w:rsidRPr="00F371C8">
        <w:br w:type="page"/>
        <w:t>Заключение</w:t>
      </w:r>
      <w:bookmarkEnd w:id="17"/>
      <w:bookmarkEnd w:id="18"/>
      <w:bookmarkEnd w:id="19"/>
    </w:p>
    <w:p w:rsidR="008B7F7F" w:rsidRPr="00F371C8" w:rsidRDefault="008B7F7F" w:rsidP="00AC53B5">
      <w:pPr>
        <w:pStyle w:val="ad"/>
      </w:pPr>
    </w:p>
    <w:p w:rsidR="007677B7" w:rsidRPr="00F371C8" w:rsidRDefault="007677B7" w:rsidP="00AC53B5">
      <w:pPr>
        <w:pStyle w:val="ad"/>
      </w:pPr>
      <w:r w:rsidRPr="00F371C8">
        <w:t>ЕС так же как и весь мир пережил финансовый кризис, и работает на</w:t>
      </w:r>
      <w:r w:rsidR="006F00C6" w:rsidRPr="00F371C8">
        <w:t>д устранением его последствий.</w:t>
      </w:r>
    </w:p>
    <w:p w:rsidR="00CE3E76" w:rsidRPr="00F371C8" w:rsidRDefault="007677B7" w:rsidP="00AC53B5">
      <w:pPr>
        <w:pStyle w:val="ad"/>
      </w:pPr>
      <w:r w:rsidRPr="00F371C8">
        <w:t xml:space="preserve">Как известно, в самом тяжелом положении оказалась Греция. </w:t>
      </w:r>
      <w:r w:rsidR="00CE3E76" w:rsidRPr="00F371C8">
        <w:t>Давно бытовавшие сомнения в платежеспособности Греции в ситуации высокого бюджетного дефицита, невыполнения бюджета и низкого роста экономики в конечном итоге обернулись наиболее серьезным испытанием из всех, с которыми 16 странам еврозоны довелось столкнуться за 11 лет ее существования.</w:t>
      </w:r>
    </w:p>
    <w:p w:rsidR="00F02169" w:rsidRPr="00F371C8" w:rsidRDefault="00CE3E76" w:rsidP="00AC53B5">
      <w:pPr>
        <w:pStyle w:val="ad"/>
      </w:pPr>
      <w:r w:rsidRPr="00F371C8">
        <w:t>Беспокойство о здоровье евро распространилось от Греции до Португалии и от Испании до Италии и является следствием не просто кризиса долговых обязательств.</w:t>
      </w:r>
    </w:p>
    <w:p w:rsidR="007677B7" w:rsidRPr="00F371C8" w:rsidRDefault="007677B7" w:rsidP="00AC53B5">
      <w:pPr>
        <w:pStyle w:val="ad"/>
      </w:pPr>
      <w:r w:rsidRPr="00F371C8">
        <w:t>В Интервью с Handelsblatt глава Центробанка Италии Марио Драги определил две первоочередные задачи, которые в ближайшее время необходимо решить ЕС:</w:t>
      </w:r>
    </w:p>
    <w:p w:rsidR="007677B7" w:rsidRPr="00F371C8" w:rsidRDefault="007677B7" w:rsidP="00AC53B5">
      <w:pPr>
        <w:pStyle w:val="ad"/>
      </w:pPr>
      <w:r w:rsidRPr="00F371C8">
        <w:t xml:space="preserve">1. Помощь Греции - </w:t>
      </w:r>
      <w:r w:rsidR="003B325A" w:rsidRPr="00F371C8">
        <w:t>разработка</w:t>
      </w:r>
      <w:r w:rsidRPr="00F371C8">
        <w:t xml:space="preserve"> </w:t>
      </w:r>
      <w:r w:rsidR="003B325A" w:rsidRPr="00F371C8">
        <w:t>реального</w:t>
      </w:r>
      <w:r w:rsidRPr="00F371C8">
        <w:t xml:space="preserve"> бюджет</w:t>
      </w:r>
      <w:r w:rsidR="003B325A" w:rsidRPr="00F371C8">
        <w:t>а</w:t>
      </w:r>
      <w:r w:rsidRPr="00F371C8">
        <w:t xml:space="preserve">, который должен быть </w:t>
      </w:r>
      <w:r w:rsidRPr="004C13F5">
        <w:t>быстро</w:t>
      </w:r>
      <w:r w:rsidRPr="00F371C8">
        <w:t xml:space="preserve"> претворен в жизнь,</w:t>
      </w:r>
    </w:p>
    <w:p w:rsidR="00F02169" w:rsidRPr="00F371C8" w:rsidRDefault="007677B7" w:rsidP="00AC53B5">
      <w:pPr>
        <w:pStyle w:val="ad"/>
      </w:pPr>
      <w:r w:rsidRPr="00F371C8">
        <w:t xml:space="preserve">2. Расширение концепции Пакта стабильности и роста ЕС - </w:t>
      </w:r>
      <w:r w:rsidR="0066356C" w:rsidRPr="00F371C8">
        <w:t>повышение</w:t>
      </w:r>
      <w:r w:rsidRPr="00F371C8">
        <w:t xml:space="preserve"> ее эффективнее </w:t>
      </w:r>
      <w:r w:rsidR="0066356C" w:rsidRPr="00F371C8">
        <w:t xml:space="preserve">с помощью </w:t>
      </w:r>
      <w:r w:rsidRPr="00F371C8">
        <w:t>структурны</w:t>
      </w:r>
      <w:r w:rsidR="0066356C" w:rsidRPr="00F371C8">
        <w:t>х</w:t>
      </w:r>
      <w:r w:rsidRPr="00F371C8">
        <w:t xml:space="preserve"> реформ.</w:t>
      </w:r>
    </w:p>
    <w:p w:rsidR="0064762F" w:rsidRPr="00F371C8" w:rsidRDefault="0064762F" w:rsidP="00AC53B5">
      <w:pPr>
        <w:pStyle w:val="ad"/>
      </w:pPr>
      <w:r w:rsidRPr="00F371C8">
        <w:t xml:space="preserve">Наверняка, </w:t>
      </w:r>
      <w:r w:rsidR="003B325A" w:rsidRPr="00F371C8">
        <w:t>Европейское сообщество</w:t>
      </w:r>
      <w:r w:rsidRPr="00F371C8">
        <w:t xml:space="preserve"> справ</w:t>
      </w:r>
      <w:r w:rsidR="003B325A" w:rsidRPr="00F371C8">
        <w:t>и</w:t>
      </w:r>
      <w:r w:rsidRPr="00F371C8">
        <w:t>тся с кризисом, но его последствия для экономики, по мнению экспертов, могут оказаться тяжелыми.</w:t>
      </w:r>
    </w:p>
    <w:p w:rsidR="003B325A" w:rsidRPr="00F371C8" w:rsidRDefault="003B325A" w:rsidP="00AC53B5">
      <w:pPr>
        <w:pStyle w:val="ad"/>
      </w:pPr>
      <w:r w:rsidRPr="00F371C8">
        <w:t>Европейская валютная система как</w:t>
      </w:r>
      <w:r w:rsidR="009A40BC" w:rsidRPr="00F371C8">
        <w:t xml:space="preserve"> сравнительно</w:t>
      </w:r>
      <w:r w:rsidRPr="00F371C8">
        <w:t xml:space="preserve"> молодая система продолжает </w:t>
      </w:r>
      <w:r w:rsidR="009A40BC" w:rsidRPr="00F371C8">
        <w:t>развитие</w:t>
      </w:r>
      <w:r w:rsidRPr="00F371C8">
        <w:t xml:space="preserve"> и «отладку» механизмов своего существования.</w:t>
      </w:r>
      <w:r w:rsidR="002555AC" w:rsidRPr="00F371C8">
        <w:t xml:space="preserve"> </w:t>
      </w:r>
      <w:r w:rsidR="009A40BC" w:rsidRPr="00F371C8">
        <w:t>Само существование такой системы</w:t>
      </w:r>
      <w:r w:rsidR="002555AC" w:rsidRPr="00F371C8">
        <w:t xml:space="preserve"> </w:t>
      </w:r>
      <w:r w:rsidR="009A40BC" w:rsidRPr="00F371C8">
        <w:t xml:space="preserve">можно определить как грандиозный экономический эксперимент. И результаты этого экономического эксперимента: положительные или отрицательные – будет определен только последующими поколениями. Одно несомненно – любые виды экономического сотрудничества и экономического взаимодействия </w:t>
      </w:r>
      <w:r w:rsidR="00301C11" w:rsidRPr="00F371C8">
        <w:t>стимулируют рост и разнообразие мировых экономических отношений.</w:t>
      </w:r>
    </w:p>
    <w:p w:rsidR="0064762F" w:rsidRPr="00F371C8" w:rsidRDefault="0064762F" w:rsidP="00AC53B5">
      <w:pPr>
        <w:pStyle w:val="ad"/>
      </w:pPr>
    </w:p>
    <w:p w:rsidR="001660F7" w:rsidRPr="00F371C8" w:rsidRDefault="00D90B98" w:rsidP="00AC53B5">
      <w:pPr>
        <w:pStyle w:val="ad"/>
      </w:pPr>
      <w:bookmarkStart w:id="20" w:name="_Toc259564166"/>
      <w:bookmarkStart w:id="21" w:name="_Toc259564216"/>
      <w:bookmarkStart w:id="22" w:name="_Toc259564341"/>
      <w:r w:rsidRPr="00F371C8">
        <w:br w:type="page"/>
        <w:t>Структурно-логическая схема контрольной работы</w:t>
      </w:r>
      <w:bookmarkEnd w:id="20"/>
      <w:bookmarkEnd w:id="21"/>
      <w:bookmarkEnd w:id="22"/>
    </w:p>
    <w:p w:rsidR="00F02265" w:rsidRPr="00F371C8" w:rsidRDefault="00F02265" w:rsidP="00AC53B5">
      <w:pPr>
        <w:pStyle w:val="ad"/>
      </w:pPr>
    </w:p>
    <w:p w:rsidR="00D90B98" w:rsidRPr="00F371C8" w:rsidRDefault="0034315C" w:rsidP="00F371C8">
      <w:pPr>
        <w:pStyle w:val="ad"/>
        <w:ind w:firstLine="0"/>
      </w:pPr>
      <w:bookmarkStart w:id="23" w:name="_Toc257141609"/>
      <w:bookmarkStart w:id="24" w:name="_Toc259564167"/>
      <w:bookmarkStart w:id="25" w:name="_Toc259564217"/>
      <w:bookmarkStart w:id="26" w:name="_Toc25956434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2.5pt">
            <v:imagedata r:id="rId9" o:title=""/>
          </v:shape>
        </w:pict>
      </w:r>
    </w:p>
    <w:p w:rsidR="00D90B98" w:rsidRPr="00F371C8" w:rsidRDefault="00D90B98" w:rsidP="00AC53B5">
      <w:pPr>
        <w:pStyle w:val="ad"/>
      </w:pPr>
    </w:p>
    <w:p w:rsidR="00066E6B" w:rsidRPr="00F371C8" w:rsidRDefault="00D90B98" w:rsidP="00AC53B5">
      <w:pPr>
        <w:pStyle w:val="ad"/>
      </w:pPr>
      <w:r w:rsidRPr="00F371C8">
        <w:br w:type="page"/>
      </w:r>
      <w:r w:rsidR="00F371C8" w:rsidRPr="00F371C8">
        <w:t>Список использованной литературы</w:t>
      </w:r>
      <w:bookmarkEnd w:id="23"/>
      <w:bookmarkEnd w:id="24"/>
      <w:bookmarkEnd w:id="25"/>
      <w:bookmarkEnd w:id="26"/>
    </w:p>
    <w:p w:rsidR="00F371C8" w:rsidRPr="00F371C8" w:rsidRDefault="00F371C8" w:rsidP="00AC53B5">
      <w:pPr>
        <w:pStyle w:val="ad"/>
      </w:pPr>
    </w:p>
    <w:p w:rsidR="00F02169" w:rsidRPr="00F371C8" w:rsidRDefault="00066E6B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Азрилиян А.Н. Экономический словарь. М.: Институт новой экономики, 2009. -1152с.;</w:t>
      </w:r>
    </w:p>
    <w:p w:rsidR="00066E6B" w:rsidRPr="00F371C8" w:rsidRDefault="00066E6B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Виноградов Д.В. Дорошенко М.Е. Финансово-денежная экономика: учебное пособие, М.: Изд.дом ГУВШЭ, 2009. – 828 с.;</w:t>
      </w:r>
    </w:p>
    <w:p w:rsidR="002B61C1" w:rsidRPr="00F371C8" w:rsidRDefault="002B61C1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Моисеев С.Р. Международные финансовые отношения и международные финансовые рынки, М.: Московский международный институт эконометрики, финансов и права , 2003. – 245 с.;</w:t>
      </w:r>
    </w:p>
    <w:p w:rsidR="002B61C1" w:rsidRPr="00F371C8" w:rsidRDefault="002B61C1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Красавина Л.Н. Международные валютно-кредитные и финансовые отношения, М.: Финансы и статистика, 2000. – 233 с.</w:t>
      </w:r>
      <w:r w:rsidR="001704E7" w:rsidRPr="00F371C8">
        <w:t>;</w:t>
      </w:r>
    </w:p>
    <w:p w:rsidR="005B3B5F" w:rsidRPr="00F371C8" w:rsidRDefault="002B61C1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Периодическая литература</w:t>
      </w:r>
    </w:p>
    <w:p w:rsidR="00536117" w:rsidRPr="00F371C8" w:rsidRDefault="00536117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 xml:space="preserve">Афанасьев Е.В. Анализ этапов формирования модели всемирной валютной биржи// Экономические стратегии. </w:t>
      </w:r>
      <w:r w:rsidR="00E4638C" w:rsidRPr="00F371C8">
        <w:t>-</w:t>
      </w:r>
      <w:r w:rsidRPr="00F371C8">
        <w:t xml:space="preserve"> 2007. - № 07. </w:t>
      </w:r>
      <w:r w:rsidR="000C37B6" w:rsidRPr="00F371C8">
        <w:t>-</w:t>
      </w:r>
      <w:r w:rsidRPr="00F371C8">
        <w:t xml:space="preserve"> с. 126-131;</w:t>
      </w:r>
    </w:p>
    <w:p w:rsidR="00666159" w:rsidRPr="00F371C8" w:rsidRDefault="00B615CC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Кравец О. Пример создания наднациональных валю</w:t>
      </w:r>
      <w:r w:rsidR="0038626C" w:rsidRPr="00F371C8">
        <w:t>т</w:t>
      </w:r>
      <w:r w:rsidRPr="00F371C8">
        <w:t xml:space="preserve"> оказался заразителен</w:t>
      </w:r>
      <w:r w:rsidR="006D7D17" w:rsidRPr="00F371C8">
        <w:t xml:space="preserve">. – 19.05.2006 </w:t>
      </w:r>
      <w:r w:rsidRPr="00F371C8">
        <w:t>// Компания (деловой еженедельник)// Режим доступа [http://www.ko.ru]</w:t>
      </w:r>
      <w:r w:rsidR="00AC32CB" w:rsidRPr="00F371C8">
        <w:t>;</w:t>
      </w:r>
    </w:p>
    <w:p w:rsidR="002C77E6" w:rsidRPr="00F371C8" w:rsidRDefault="00272A74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Кошелев В.Н. Координация налоговой политики стран - членов Европейского союза// Режим доступа [http://wivol.ru/35.html];</w:t>
      </w:r>
    </w:p>
    <w:p w:rsidR="00BC6F70" w:rsidRPr="00F371C8" w:rsidRDefault="005C7F52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Евростат // Дефицит бюджета в еврозоне (данные 2008 года)</w:t>
      </w:r>
      <w:r w:rsidR="00272A74" w:rsidRPr="00F371C8">
        <w:t xml:space="preserve"> </w:t>
      </w:r>
      <w:r w:rsidRPr="00F371C8">
        <w:t>// Режим доступа [http://ec.europa.eu/eurostat]</w:t>
      </w:r>
    </w:p>
    <w:p w:rsidR="00666159" w:rsidRPr="00F371C8" w:rsidRDefault="00666159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 xml:space="preserve">Сайт Европа. </w:t>
      </w:r>
      <w:r w:rsidR="00AC32CB" w:rsidRPr="00F371C8">
        <w:t>История денежно-кредитного сотрудничества (Европейская валютная система)</w:t>
      </w:r>
      <w:r w:rsidR="00F02169" w:rsidRPr="00F371C8">
        <w:t xml:space="preserve"> </w:t>
      </w:r>
      <w:r w:rsidRPr="00F371C8">
        <w:t>// Режим доступа [</w:t>
      </w:r>
      <w:r w:rsidRPr="004C13F5">
        <w:t>http://europa.eu</w:t>
      </w:r>
      <w:r w:rsidRPr="00F371C8">
        <w:t>]</w:t>
      </w:r>
      <w:r w:rsidR="00AC32CB" w:rsidRPr="00F371C8">
        <w:t>;</w:t>
      </w:r>
    </w:p>
    <w:p w:rsidR="00290E82" w:rsidRPr="00F371C8" w:rsidRDefault="00BC6F70" w:rsidP="00F371C8">
      <w:pPr>
        <w:pStyle w:val="ad"/>
        <w:numPr>
          <w:ilvl w:val="0"/>
          <w:numId w:val="29"/>
        </w:numPr>
        <w:ind w:left="0" w:firstLine="0"/>
        <w:jc w:val="left"/>
      </w:pPr>
      <w:r w:rsidRPr="00F371C8">
        <w:t>Фонд экономического развития «Центр Экономикс». Европейский фонд межгосударственного валютного регулирования. Выбор режима валютного курса // Режим доступа: [</w:t>
      </w:r>
      <w:r w:rsidRPr="004C13F5">
        <w:t>http://www.centr-economiks.ru/Valjutnyjj_kurs/Vybor_rezhima_valjutnogo_kursa/Evropejjskijj_fond_mezhgosudarstvennogo_valjutnogo_regulirovanija/index.html</w:t>
      </w:r>
      <w:r w:rsidRPr="00F371C8">
        <w:t>.</w:t>
      </w:r>
    </w:p>
    <w:p w:rsidR="00F371C8" w:rsidRPr="00F371C8" w:rsidRDefault="00F371C8" w:rsidP="00AC53B5">
      <w:pPr>
        <w:pStyle w:val="ad"/>
      </w:pPr>
    </w:p>
    <w:p w:rsidR="00D27ED9" w:rsidRDefault="00D27ED9" w:rsidP="00AC53B5">
      <w:pPr>
        <w:pStyle w:val="ad"/>
        <w:sectPr w:rsidR="00D27ED9" w:rsidSect="00F02169">
          <w:pgSz w:w="11907" w:h="16839" w:orient="landscape" w:code="9"/>
          <w:pgMar w:top="1134" w:right="851" w:bottom="1134" w:left="1701" w:header="709" w:footer="709" w:gutter="0"/>
          <w:cols w:space="708"/>
          <w:docGrid w:linePitch="360"/>
        </w:sectPr>
      </w:pPr>
      <w:bookmarkStart w:id="27" w:name="_Toc259564168"/>
      <w:bookmarkStart w:id="28" w:name="_Toc259564218"/>
      <w:bookmarkStart w:id="29" w:name="_Toc259564343"/>
    </w:p>
    <w:p w:rsidR="00AC32CB" w:rsidRPr="00F371C8" w:rsidRDefault="00F371C8" w:rsidP="00AC53B5">
      <w:pPr>
        <w:pStyle w:val="ad"/>
      </w:pPr>
      <w:r w:rsidRPr="00F371C8">
        <w:t>Приложение 1</w:t>
      </w:r>
      <w:bookmarkEnd w:id="27"/>
      <w:bookmarkEnd w:id="28"/>
      <w:bookmarkEnd w:id="29"/>
    </w:p>
    <w:p w:rsidR="00AC32CB" w:rsidRDefault="00AC32CB" w:rsidP="00AC53B5">
      <w:pPr>
        <w:pStyle w:val="ad"/>
      </w:pPr>
      <w:r w:rsidRPr="00F371C8">
        <w:t>Формы интеграции, образующие валютную зону:</w:t>
      </w:r>
      <w:r w:rsidR="00F02169" w:rsidRPr="00F371C8">
        <w:t xml:space="preserve"> </w:t>
      </w:r>
      <w:r w:rsidRPr="00F371C8">
        <w:t>содержание, условия возникновения, преимущества и недостатки</w:t>
      </w:r>
    </w:p>
    <w:p w:rsidR="00F371C8" w:rsidRPr="00F371C8" w:rsidRDefault="00F371C8" w:rsidP="00AC53B5">
      <w:pPr>
        <w:pStyle w:val="ad"/>
      </w:pPr>
    </w:p>
    <w:tbl>
      <w:tblPr>
        <w:tblW w:w="145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2727"/>
        <w:gridCol w:w="3402"/>
        <w:gridCol w:w="3402"/>
        <w:gridCol w:w="3060"/>
      </w:tblGrid>
      <w:tr w:rsidR="00AC32CB" w:rsidRPr="00E01C10" w:rsidTr="00E01C10">
        <w:trPr>
          <w:trHeight w:val="328"/>
        </w:trPr>
        <w:tc>
          <w:tcPr>
            <w:tcW w:w="1951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Форма интеграции</w:t>
            </w:r>
          </w:p>
        </w:tc>
        <w:tc>
          <w:tcPr>
            <w:tcW w:w="2727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Содержание формы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Условия возникновения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 xml:space="preserve">Преимущества </w:t>
            </w:r>
          </w:p>
        </w:tc>
        <w:tc>
          <w:tcPr>
            <w:tcW w:w="3060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Недостатки</w:t>
            </w:r>
          </w:p>
        </w:tc>
      </w:tr>
      <w:tr w:rsidR="00AC32CB" w:rsidRPr="00E01C10" w:rsidTr="00E01C10">
        <w:trPr>
          <w:trHeight w:val="542"/>
        </w:trPr>
        <w:tc>
          <w:tcPr>
            <w:tcW w:w="1951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Валютная интеграция</w:t>
            </w:r>
          </w:p>
        </w:tc>
        <w:tc>
          <w:tcPr>
            <w:tcW w:w="2727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Взаимная стабилизация курсов национальных валют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1.Фиксация валютных курсов</w:t>
            </w:r>
            <w:r w:rsidR="00AC53B5" w:rsidRPr="00F371C8">
              <w:t xml:space="preserve"> </w:t>
            </w:r>
            <w:r w:rsidRPr="00F371C8">
              <w:t>2. Долларизация</w:t>
            </w:r>
            <w:r w:rsidR="00AC53B5" w:rsidRPr="00F371C8">
              <w:t xml:space="preserve"> </w:t>
            </w:r>
            <w:r w:rsidRPr="00F371C8">
              <w:t>3. Введение общей валюты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Увеличение полезности денег:</w:t>
            </w:r>
            <w:r w:rsidR="00F02169" w:rsidRPr="00F371C8">
              <w:t xml:space="preserve"> </w:t>
            </w:r>
            <w:r w:rsidRPr="00F371C8">
              <w:t>- как средство платежа – снижение транзакционных издержек</w:t>
            </w:r>
            <w:r w:rsidR="00F02169" w:rsidRPr="00F371C8">
              <w:t xml:space="preserve"> </w:t>
            </w:r>
            <w:r w:rsidRPr="00F371C8">
              <w:t>- как единицы расчета – возможность прямых ценовых сопоставлений</w:t>
            </w:r>
            <w:r w:rsidR="00F02169" w:rsidRPr="00F371C8">
              <w:t xml:space="preserve"> </w:t>
            </w:r>
            <w:r w:rsidRPr="00F371C8">
              <w:t>- как средства сбережения – устранение валютного риска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Условия фиксированного валютного курса и мобильности капитала, могут привести к дисбалансу внешних платежей и спекулятивному движению капитала</w:t>
            </w:r>
          </w:p>
        </w:tc>
      </w:tr>
      <w:tr w:rsidR="00AC32CB" w:rsidRPr="00E01C10" w:rsidTr="00E01C10">
        <w:trPr>
          <w:trHeight w:val="541"/>
        </w:trPr>
        <w:tc>
          <w:tcPr>
            <w:tcW w:w="1951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Интеграция финансовых рынков</w:t>
            </w:r>
          </w:p>
        </w:tc>
        <w:tc>
          <w:tcPr>
            <w:tcW w:w="2727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Снятие ограничений на межстрановое движение капитала, эффективное объединение национальных финансовых рынков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Все потенциальные рыночные участники такого рынка:</w:t>
            </w:r>
            <w:r w:rsidR="00AC53B5" w:rsidRPr="00F371C8">
              <w:t xml:space="preserve"> </w:t>
            </w:r>
            <w:r w:rsidRPr="00F371C8">
              <w:t>1. Подчиняются единственному своду правил (когда они решают проводить операции с этими финансовыми инструментами или услугами),</w:t>
            </w:r>
            <w:r w:rsidR="00F02169" w:rsidRPr="00F371C8">
              <w:t xml:space="preserve"> </w:t>
            </w:r>
            <w:r w:rsidRPr="00F371C8">
              <w:t>2. Имеют равный доступ к этим финансовым инструментам или услугам,</w:t>
            </w:r>
            <w:r w:rsidR="00AC53B5" w:rsidRPr="00F371C8">
              <w:t xml:space="preserve"> </w:t>
            </w:r>
            <w:r w:rsidRPr="00F371C8">
              <w:t>3. Встречают одинаковое к себе отношение на рынке.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Рост реального благосостояния</w:t>
            </w:r>
          </w:p>
        </w:tc>
        <w:tc>
          <w:tcPr>
            <w:tcW w:w="3060" w:type="dxa"/>
            <w:vMerge/>
            <w:shd w:val="clear" w:color="auto" w:fill="auto"/>
          </w:tcPr>
          <w:p w:rsidR="00AC32CB" w:rsidRPr="00F371C8" w:rsidRDefault="00AC32CB" w:rsidP="00F371C8">
            <w:pPr>
              <w:pStyle w:val="ae"/>
            </w:pPr>
          </w:p>
        </w:tc>
      </w:tr>
      <w:tr w:rsidR="00AC32CB" w:rsidRPr="00E01C10" w:rsidTr="00E01C10">
        <w:trPr>
          <w:trHeight w:val="541"/>
        </w:trPr>
        <w:tc>
          <w:tcPr>
            <w:tcW w:w="1951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Политическая интеграция</w:t>
            </w:r>
          </w:p>
        </w:tc>
        <w:tc>
          <w:tcPr>
            <w:tcW w:w="2727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Унификация государственного регулирования для совместной разработки и реализации денежно-кредитной и валютной политики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Создание формальных и неформальных институтов для совместного решения каких-либо вопросов.</w:t>
            </w:r>
          </w:p>
        </w:tc>
        <w:tc>
          <w:tcPr>
            <w:tcW w:w="3402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Увеличение влиятельности денежно-кредитной политики такого союза,</w:t>
            </w:r>
            <w:r w:rsidR="00AC53B5" w:rsidRPr="00F371C8">
              <w:t xml:space="preserve"> </w:t>
            </w:r>
            <w:r w:rsidRPr="00F371C8">
              <w:t>потенциальная экономия резервов</w:t>
            </w:r>
          </w:p>
        </w:tc>
        <w:tc>
          <w:tcPr>
            <w:tcW w:w="3060" w:type="dxa"/>
            <w:shd w:val="clear" w:color="auto" w:fill="auto"/>
          </w:tcPr>
          <w:p w:rsidR="00AC32CB" w:rsidRPr="00F371C8" w:rsidRDefault="00AC32CB" w:rsidP="00F371C8">
            <w:pPr>
              <w:pStyle w:val="ae"/>
            </w:pPr>
            <w:r w:rsidRPr="00F371C8">
              <w:t>Снижение денежно-кредитной независимости</w:t>
            </w:r>
            <w:r w:rsidR="00F02169" w:rsidRPr="00F371C8">
              <w:t xml:space="preserve"> </w:t>
            </w:r>
            <w:r w:rsidRPr="00F371C8">
              <w:t>отдельно взятого государства</w:t>
            </w:r>
          </w:p>
        </w:tc>
      </w:tr>
    </w:tbl>
    <w:p w:rsidR="00F15B8C" w:rsidRPr="00F371C8" w:rsidRDefault="00F15B8C" w:rsidP="00AC53B5">
      <w:pPr>
        <w:pStyle w:val="ad"/>
      </w:pPr>
      <w:r w:rsidRPr="00F371C8">
        <w:t>Источник [</w:t>
      </w:r>
      <w:r w:rsidR="00FF63BF" w:rsidRPr="00F371C8">
        <w:t>3, с. 97-103</w:t>
      </w:r>
      <w:r w:rsidRPr="00F371C8">
        <w:t>]</w:t>
      </w:r>
    </w:p>
    <w:p w:rsidR="00AC32CB" w:rsidRDefault="00AC32CB" w:rsidP="00AC53B5">
      <w:pPr>
        <w:pStyle w:val="ad"/>
      </w:pPr>
    </w:p>
    <w:p w:rsidR="00D27ED9" w:rsidRPr="00F371C8" w:rsidRDefault="00D27ED9" w:rsidP="00AC53B5">
      <w:pPr>
        <w:pStyle w:val="ad"/>
        <w:sectPr w:rsidR="00D27ED9" w:rsidRPr="00F371C8" w:rsidSect="00D27ED9">
          <w:pgSz w:w="16839" w:h="11907" w:code="9"/>
          <w:pgMar w:top="851" w:right="1134" w:bottom="1701" w:left="1134" w:header="709" w:footer="709" w:gutter="0"/>
          <w:cols w:space="708"/>
          <w:docGrid w:linePitch="360"/>
        </w:sectPr>
      </w:pPr>
    </w:p>
    <w:p w:rsidR="00290E82" w:rsidRPr="00F371C8" w:rsidRDefault="00D27ED9" w:rsidP="00AC53B5">
      <w:pPr>
        <w:pStyle w:val="ad"/>
      </w:pPr>
      <w:bookmarkStart w:id="30" w:name="_Toc259564169"/>
      <w:bookmarkStart w:id="31" w:name="_Toc259564219"/>
      <w:bookmarkStart w:id="32" w:name="_Toc259564344"/>
      <w:r w:rsidRPr="00F371C8">
        <w:t xml:space="preserve">Приложение </w:t>
      </w:r>
      <w:r w:rsidR="00666159" w:rsidRPr="00F371C8">
        <w:t>2</w:t>
      </w:r>
      <w:bookmarkEnd w:id="30"/>
      <w:bookmarkEnd w:id="31"/>
      <w:bookmarkEnd w:id="32"/>
    </w:p>
    <w:p w:rsidR="00F02169" w:rsidRPr="00F371C8" w:rsidRDefault="00B23FC9" w:rsidP="00AC53B5">
      <w:pPr>
        <w:pStyle w:val="ad"/>
      </w:pPr>
      <w:r w:rsidRPr="00F371C8">
        <w:t>Основные хронологические события,</w:t>
      </w:r>
      <w:r w:rsidR="00F02169" w:rsidRPr="00F371C8">
        <w:t xml:space="preserve"> </w:t>
      </w:r>
      <w:r w:rsidRPr="00F371C8">
        <w:t>связанные с образованием и развитием ЕС</w:t>
      </w:r>
    </w:p>
    <w:p w:rsidR="00B23FC9" w:rsidRPr="00F371C8" w:rsidRDefault="00B23FC9" w:rsidP="00AC53B5">
      <w:pPr>
        <w:pStyle w:val="ad"/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5"/>
        <w:gridCol w:w="4536"/>
        <w:gridCol w:w="2551"/>
      </w:tblGrid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Дата</w:t>
            </w:r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Событие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Его значение (результат)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9 мая </w:t>
            </w:r>
            <w:smartTag w:uri="urn:schemas-microsoft-com:office:smarttags" w:element="metricconverter">
              <w:smartTagPr>
                <w:attr w:name="ProductID" w:val="1950 г"/>
              </w:smartTagPr>
              <w:r w:rsidRPr="00F371C8">
                <w:t>1950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Роберт Шуман, французский Министр иностранных дел, делает важную речь. Он предлагает, чтобы Франция и Федеральная республика Германии объединили их угольные и стальные ресурсы в новой организации, к которой могут присоединиться другие европейские страны.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Эта дата может быть расценена как дата рождения Европейского союза, 9 мая теперь празднуется ежегодно как День</w:t>
            </w:r>
            <w:r w:rsidR="004209D8" w:rsidRPr="00F371C8">
              <w:t xml:space="preserve"> Европы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18 апреля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F371C8">
                <w:t>1951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 Париже, шесть стран: Бельгия, Федеральная республика Германии, Франция, Италия, Люксембург и Нидерланды</w:t>
            </w:r>
            <w:r w:rsidR="00F02169" w:rsidRPr="00F371C8">
              <w:t xml:space="preserve"> </w:t>
            </w:r>
            <w:r w:rsidRPr="00F371C8">
              <w:t>-</w:t>
            </w:r>
            <w:r w:rsidR="00F02169" w:rsidRPr="00F371C8">
              <w:t xml:space="preserve"> </w:t>
            </w:r>
            <w:r w:rsidRPr="00F371C8">
              <w:t>подписывают Соглашение, устанавливающее европейское Угольное и Стальное Сообщество (ECSC)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Вступает в силу 23 июля 1952, сроком на 50 лет.</w:t>
            </w:r>
          </w:p>
        </w:tc>
      </w:tr>
      <w:tr w:rsidR="00290E82" w:rsidRPr="00E01C10" w:rsidTr="00E01C10">
        <w:trPr>
          <w:trHeight w:val="1245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25 марта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F371C8">
                <w:t>1957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 Риме, эти шесть стран подписывают соглашения, устанавливающие Европейское Экономическое Сообщество (ЕЭС) и европейское Сообщество Атомной энергии (Евроатом).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Они вступают в силу 1 января 1958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4 января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F371C8">
                <w:t>1960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По предложеению Великобритании, Стокгольмское Соглашение устанавливает европейскую Ассоциацию Свободной торговли (Европейская Ассоциация Свободной Торговли)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Включает множество европейских стран, которые не являются членами ЕЭС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8 апреля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F371C8">
                <w:t>1965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Подписано соглашение о слиянии трех Сообществ (ECSC, ЕЭС и Евроатом) и создании Европейского Совета и Европейской Комиссии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Вступает в силу 1 июля 1967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июля </w:t>
            </w:r>
            <w:smartTag w:uri="urn:schemas-microsoft-com:office:smarttags" w:element="metricconverter">
              <w:smartTagPr>
                <w:attr w:name="ProductID" w:val="1968 г"/>
              </w:smartTagPr>
              <w:r w:rsidRPr="00F371C8">
                <w:t>1968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Таможенные пошлины между государствами - членами на индустриальн</w:t>
            </w:r>
            <w:r w:rsidR="00C753A8" w:rsidRPr="00F371C8">
              <w:t>ых товарах полностью отменены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На 18 месяцев раньше срока, и</w:t>
            </w:r>
            <w:r w:rsidR="00F02169" w:rsidRPr="00F371C8">
              <w:t xml:space="preserve"> </w:t>
            </w:r>
            <w:r w:rsidRPr="00F371C8">
              <w:t xml:space="preserve">введен общий внешний тариф 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1-2 декабря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F371C8">
                <w:t>1969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На Встрече на высшем уровне в Гааге, политические лидеры ЕЭС решают двигаться далее вперед с европейской интеграцией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Открыть путь для его первого расширения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22 апреля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F371C8">
                <w:t>1970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 Люксембурге, подписано соглашение, дающее большие контролирующие полномочия Европейскому парламенту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Появился орган власти ЕС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22 января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F371C8">
                <w:t>1972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 Брюсселе, подписано соглашение о вступлении в ЕС Дании, Ирландии, Норвегии и Великобритании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F371C8">
                <w:t>1973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Дания, Ирландия и Великобритания присоединяются к ЕС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Членов ЕС - 9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9-10 декабря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F371C8">
                <w:t>1974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На Парижской Встрече на высшем уровне, политические лидеры этих 9 государств - членов решают встретить три раза в год как Европейский Совет. Они также дают сигнал для прямых выборов в Европейский парламент, и соглашаются организовать Европейский Региональный Фонд Развития.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22 июля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F371C8">
                <w:t>1975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Подписано соглашение, дающее власть Европейскому парламенту над контролем бюджетом и учрежден Европейский Суд Аудиторов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Вступает в силу 1 июня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F371C8">
                <w:t>1975 г</w:t>
              </w:r>
            </w:smartTag>
            <w:r w:rsidRPr="00F371C8">
              <w:t>.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7-10 июня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F371C8">
                <w:t>1977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первые прямые выборы в 410-местный Европейский парламент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F371C8">
                <w:t>1981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Греция присоединяется к ЕС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Членов ЕС - 10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14-17 июня 1984</w:t>
            </w:r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Вторые прямые выборы в Европейский парламент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7 января 19 г85</w:t>
            </w:r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Жак Делор становится президентом Евркомиссии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1985–1995 гг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14 июня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371C8">
                <w:t>1985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Подписано Шенгенское соглашение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Отмена таможенных пошлин между государствами - членами ЕС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F371C8">
                <w:t>1986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Испания и Португалия присоединяется к ЕС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Членов ЕС - 12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17 и 28 февраля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F371C8">
                <w:t>1986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Единый Еропейский Акт подписан в Люксембурге и Гааге о ЕС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Вступает в силу 1 июля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F371C8">
                <w:t>1987 г</w:t>
              </w:r>
            </w:smartTag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15-18 июня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F371C8">
                <w:t>1989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Третьи прямые выборы в Европейский парламент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9 ноября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F371C8">
                <w:t>1989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Падение Берлинской стены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3 октября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371C8">
                <w:t>1990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Объединение Германии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371C8">
                <w:t>1992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Соглашение относительно Европейского союза подписан в Маастрихте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Вступает в силу 1 ноября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371C8">
                <w:t>1993 г</w:t>
              </w:r>
            </w:smartTag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371C8">
                <w:t>1993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Создан Европейский рынок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9 -12 июня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F371C8">
                <w:t>1994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Четвертые прямые выборы в Европейский парламент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71C8">
                <w:t>1995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Австрия, Финляндия и Швеция присоединяется к ЕС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Членов ЕС - 15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23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71C8">
                <w:t>1995 г</w:t>
              </w:r>
            </w:smartTag>
            <w:r w:rsidRPr="00F371C8">
              <w:t>.</w:t>
            </w:r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Пост президента Еврокомиссии занимает Жак Сантэ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1995–1999 гг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27-28 ноября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71C8">
                <w:t>1995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Конференция в Барселоне начинает сотрудничество между ЕС и странами на южном берегу Средиземноморья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 октября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F371C8">
                <w:t>1997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Подписано Амстердамское соглашение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Вступает в силу 1 мая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371C8">
                <w:t>1999 г</w:t>
              </w:r>
            </w:smartTag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30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371C8">
                <w:t>1998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Начинается процесс вступления для новых стран-кандидатов: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Кипр, Мальта и 10 центральных и восточноевропейских стран 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371C8">
                <w:t>1999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11 стран ЕС принимают евро, который </w:t>
            </w:r>
            <w:r w:rsidR="004209D8" w:rsidRPr="00F371C8">
              <w:t>появляется</w:t>
            </w:r>
            <w:r w:rsidRPr="00F371C8">
              <w:t xml:space="preserve"> на финансовых рынках, заменяя их валюты для безналичных сделок. Европейский Центральный банк берет ответственность за валютную политику.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К этим 11 странам присоединяется Греция в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371C8">
                <w:t>2001 г</w:t>
              </w:r>
            </w:smartTag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10-13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371C8">
                <w:t>1999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Пятые прямые выборы в Европейский парламент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15 сентября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371C8">
                <w:t>1999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Пост президента новой Еврокомиссии занимает Романо Проди 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1999–2004 гг</w:t>
            </w: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23-24 марта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F371C8">
                <w:t>2000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Лиссабонский европейский Совет составляет новую стратегию для того, чтобы повысить занятость в ЕС, модернизируя экономику и усиливая социальное единство в Европе основанной на знаниях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371C8">
                <w:t>2002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Едина европейская валюта евро введена в 12 странах Еврозоны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13 декабря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371C8">
                <w:t>2002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Копенгагенский Европейский саммит соглашается, что 10 из стран кандидатов могут присоединиться к ЕС 1 мая 2004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мая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71C8">
                <w:t>2004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Кипр, Чешская республика, Эстония, Венгрия, Латвия, Литва, Мальта, Польша, Словакия и Словения присоединяется к ЕС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10 и 13 июня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71C8">
                <w:t>2004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Шестые прямые выборы в Европейский парламент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29 октября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71C8">
                <w:t>2004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Европейская Конституция принята в Риме (подчиненный ратификации государствами - членами).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22 ноября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71C8">
                <w:t>2004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Пост президента новой Еврокомиссия занимает Мануэл</w:t>
            </w:r>
            <w:r w:rsidR="009520F3" w:rsidRPr="00F371C8">
              <w:t>ь</w:t>
            </w:r>
            <w:r w:rsidRPr="00F371C8">
              <w:t xml:space="preserve"> Барросо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3 октября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371C8">
                <w:t>2005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Начались переговоры о вступлении в ЕС</w:t>
            </w:r>
            <w:r w:rsidR="00F02169" w:rsidRPr="00F371C8">
              <w:t xml:space="preserve"> </w:t>
            </w:r>
            <w:r w:rsidRPr="00F371C8">
              <w:t>Турции и Хорватии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71C8">
                <w:t>2007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Болгария и Румыния присоединяется к ЕС</w:t>
            </w:r>
          </w:p>
          <w:p w:rsidR="00290E82" w:rsidRPr="00F371C8" w:rsidRDefault="00290E82" w:rsidP="00D27ED9">
            <w:pPr>
              <w:pStyle w:val="ae"/>
            </w:pPr>
            <w:r w:rsidRPr="00F371C8">
              <w:t>Словения принимает евро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71C8">
                <w:t>2008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Кипр и Мальта принимают евро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12 декабря</w:t>
            </w:r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Швейцария присоединяется к Шенгенской зоне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1 января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71C8">
                <w:t>2009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Словакия принимает евро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  <w:tr w:rsidR="00290E82" w:rsidRPr="00E01C10" w:rsidTr="00E01C10">
        <w:trPr>
          <w:trHeight w:val="368"/>
        </w:trPr>
        <w:tc>
          <w:tcPr>
            <w:tcW w:w="1985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 xml:space="preserve">4-7 июня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71C8">
                <w:t>2009 г</w:t>
              </w:r>
            </w:smartTag>
          </w:p>
        </w:tc>
        <w:tc>
          <w:tcPr>
            <w:tcW w:w="4536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  <w:r w:rsidRPr="00F371C8">
              <w:t>Седьмые прямые выборы в Европейский парламент</w:t>
            </w:r>
          </w:p>
        </w:tc>
        <w:tc>
          <w:tcPr>
            <w:tcW w:w="2551" w:type="dxa"/>
            <w:shd w:val="clear" w:color="auto" w:fill="auto"/>
          </w:tcPr>
          <w:p w:rsidR="00290E82" w:rsidRPr="00F371C8" w:rsidRDefault="00290E82" w:rsidP="00D27ED9">
            <w:pPr>
              <w:pStyle w:val="ae"/>
            </w:pPr>
          </w:p>
        </w:tc>
      </w:tr>
    </w:tbl>
    <w:p w:rsidR="00AC32CB" w:rsidRPr="00F371C8" w:rsidRDefault="00AC32CB" w:rsidP="00D27ED9">
      <w:pPr>
        <w:pStyle w:val="ad"/>
        <w:ind w:firstLine="0"/>
      </w:pPr>
      <w:bookmarkStart w:id="33" w:name="_GoBack"/>
      <w:bookmarkEnd w:id="33"/>
    </w:p>
    <w:sectPr w:rsidR="00AC32CB" w:rsidRPr="00F371C8" w:rsidSect="00F02169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10" w:rsidRDefault="00E01C10">
      <w:r>
        <w:separator/>
      </w:r>
    </w:p>
  </w:endnote>
  <w:endnote w:type="continuationSeparator" w:id="0">
    <w:p w:rsidR="00E01C10" w:rsidRDefault="00E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EC" w:rsidRDefault="007A58EC" w:rsidP="005A3FC0">
    <w:pPr>
      <w:pStyle w:val="a7"/>
      <w:framePr w:wrap="around" w:vAnchor="text" w:hAnchor="margin" w:xAlign="right" w:y="1"/>
      <w:rPr>
        <w:rStyle w:val="a9"/>
      </w:rPr>
    </w:pPr>
  </w:p>
  <w:p w:rsidR="007A58EC" w:rsidRDefault="007A58EC" w:rsidP="0095368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EC" w:rsidRDefault="004C13F5" w:rsidP="005A3FC0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7A58EC" w:rsidRDefault="007A58EC" w:rsidP="0095368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10" w:rsidRDefault="00E01C10">
      <w:r>
        <w:separator/>
      </w:r>
    </w:p>
  </w:footnote>
  <w:footnote w:type="continuationSeparator" w:id="0">
    <w:p w:rsidR="00E01C10" w:rsidRDefault="00E0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8BA"/>
    <w:multiLevelType w:val="hybridMultilevel"/>
    <w:tmpl w:val="067CF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3E6B4A"/>
    <w:multiLevelType w:val="hybridMultilevel"/>
    <w:tmpl w:val="82A80E2E"/>
    <w:lvl w:ilvl="0" w:tplc="ADA401E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E3540A"/>
    <w:multiLevelType w:val="hybridMultilevel"/>
    <w:tmpl w:val="A0F083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81F4FBA"/>
    <w:multiLevelType w:val="hybridMultilevel"/>
    <w:tmpl w:val="A9E2C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85328E"/>
    <w:multiLevelType w:val="multilevel"/>
    <w:tmpl w:val="39D4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11CE7"/>
    <w:multiLevelType w:val="hybridMultilevel"/>
    <w:tmpl w:val="E5125F5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7C64268"/>
    <w:multiLevelType w:val="hybridMultilevel"/>
    <w:tmpl w:val="BA6683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93923F9"/>
    <w:multiLevelType w:val="hybridMultilevel"/>
    <w:tmpl w:val="B97A0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757E8C"/>
    <w:multiLevelType w:val="hybridMultilevel"/>
    <w:tmpl w:val="CEC01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95248E"/>
    <w:multiLevelType w:val="hybridMultilevel"/>
    <w:tmpl w:val="1CCAEF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76858B9"/>
    <w:multiLevelType w:val="hybridMultilevel"/>
    <w:tmpl w:val="4F4EB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821408"/>
    <w:multiLevelType w:val="multilevel"/>
    <w:tmpl w:val="0F2EBC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A353D12"/>
    <w:multiLevelType w:val="hybridMultilevel"/>
    <w:tmpl w:val="3E0CD3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DF11A0E"/>
    <w:multiLevelType w:val="hybridMultilevel"/>
    <w:tmpl w:val="FB72D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191719"/>
    <w:multiLevelType w:val="multilevel"/>
    <w:tmpl w:val="A0F083D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9340850"/>
    <w:multiLevelType w:val="hybridMultilevel"/>
    <w:tmpl w:val="CE52C8BE"/>
    <w:lvl w:ilvl="0" w:tplc="D37A8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D314D0"/>
    <w:multiLevelType w:val="hybridMultilevel"/>
    <w:tmpl w:val="0E5A060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BE54ADD"/>
    <w:multiLevelType w:val="hybridMultilevel"/>
    <w:tmpl w:val="A1F0F8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E6F371B"/>
    <w:multiLevelType w:val="hybridMultilevel"/>
    <w:tmpl w:val="7F1824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E812B0"/>
    <w:multiLevelType w:val="hybridMultilevel"/>
    <w:tmpl w:val="302A18A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BF50931"/>
    <w:multiLevelType w:val="hybridMultilevel"/>
    <w:tmpl w:val="AA5AE36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417154E"/>
    <w:multiLevelType w:val="hybridMultilevel"/>
    <w:tmpl w:val="53125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69282B"/>
    <w:multiLevelType w:val="hybridMultilevel"/>
    <w:tmpl w:val="6DFCCF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85015B5"/>
    <w:multiLevelType w:val="hybridMultilevel"/>
    <w:tmpl w:val="C94023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AE65278"/>
    <w:multiLevelType w:val="multilevel"/>
    <w:tmpl w:val="3E14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1356FF"/>
    <w:multiLevelType w:val="hybridMultilevel"/>
    <w:tmpl w:val="D5DC1510"/>
    <w:lvl w:ilvl="0" w:tplc="AAF88B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75CF4BE2"/>
    <w:multiLevelType w:val="hybridMultilevel"/>
    <w:tmpl w:val="C3C26A3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AD211E5"/>
    <w:multiLevelType w:val="multilevel"/>
    <w:tmpl w:val="BA66830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EB95DD8"/>
    <w:multiLevelType w:val="multilevel"/>
    <w:tmpl w:val="98A8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4"/>
  </w:num>
  <w:num w:numId="8">
    <w:abstractNumId w:val="20"/>
  </w:num>
  <w:num w:numId="9">
    <w:abstractNumId w:val="16"/>
  </w:num>
  <w:num w:numId="10">
    <w:abstractNumId w:val="24"/>
  </w:num>
  <w:num w:numId="11">
    <w:abstractNumId w:val="26"/>
  </w:num>
  <w:num w:numId="12">
    <w:abstractNumId w:val="5"/>
  </w:num>
  <w:num w:numId="13">
    <w:abstractNumId w:val="4"/>
  </w:num>
  <w:num w:numId="14">
    <w:abstractNumId w:val="28"/>
  </w:num>
  <w:num w:numId="15">
    <w:abstractNumId w:val="6"/>
  </w:num>
  <w:num w:numId="16">
    <w:abstractNumId w:val="25"/>
  </w:num>
  <w:num w:numId="17">
    <w:abstractNumId w:val="27"/>
  </w:num>
  <w:num w:numId="18">
    <w:abstractNumId w:val="12"/>
  </w:num>
  <w:num w:numId="19">
    <w:abstractNumId w:val="18"/>
  </w:num>
  <w:num w:numId="20">
    <w:abstractNumId w:val="3"/>
  </w:num>
  <w:num w:numId="21">
    <w:abstractNumId w:val="10"/>
  </w:num>
  <w:num w:numId="22">
    <w:abstractNumId w:val="21"/>
  </w:num>
  <w:num w:numId="23">
    <w:abstractNumId w:val="19"/>
  </w:num>
  <w:num w:numId="24">
    <w:abstractNumId w:val="8"/>
  </w:num>
  <w:num w:numId="25">
    <w:abstractNumId w:val="9"/>
  </w:num>
  <w:num w:numId="26">
    <w:abstractNumId w:val="7"/>
  </w:num>
  <w:num w:numId="27">
    <w:abstractNumId w:val="23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EEF"/>
    <w:rsid w:val="000029C0"/>
    <w:rsid w:val="00004D15"/>
    <w:rsid w:val="00005742"/>
    <w:rsid w:val="000067F3"/>
    <w:rsid w:val="00010316"/>
    <w:rsid w:val="000151D2"/>
    <w:rsid w:val="00017219"/>
    <w:rsid w:val="00035EE4"/>
    <w:rsid w:val="0004480D"/>
    <w:rsid w:val="0004525C"/>
    <w:rsid w:val="00046ED7"/>
    <w:rsid w:val="00052287"/>
    <w:rsid w:val="0005295E"/>
    <w:rsid w:val="000540F2"/>
    <w:rsid w:val="0005410A"/>
    <w:rsid w:val="00056C6E"/>
    <w:rsid w:val="00066E6B"/>
    <w:rsid w:val="00080772"/>
    <w:rsid w:val="00081581"/>
    <w:rsid w:val="00084229"/>
    <w:rsid w:val="00086805"/>
    <w:rsid w:val="00090BAB"/>
    <w:rsid w:val="000C37B6"/>
    <w:rsid w:val="000C4232"/>
    <w:rsid w:val="000C535C"/>
    <w:rsid w:val="000C7854"/>
    <w:rsid w:val="000D523C"/>
    <w:rsid w:val="000F0EBE"/>
    <w:rsid w:val="000F4605"/>
    <w:rsid w:val="00101CF6"/>
    <w:rsid w:val="00112EAC"/>
    <w:rsid w:val="00114C02"/>
    <w:rsid w:val="0011794C"/>
    <w:rsid w:val="00125399"/>
    <w:rsid w:val="00144857"/>
    <w:rsid w:val="001518C0"/>
    <w:rsid w:val="00164230"/>
    <w:rsid w:val="001660F7"/>
    <w:rsid w:val="001704E7"/>
    <w:rsid w:val="00184631"/>
    <w:rsid w:val="00184819"/>
    <w:rsid w:val="00186D8A"/>
    <w:rsid w:val="00191640"/>
    <w:rsid w:val="00192394"/>
    <w:rsid w:val="001A4679"/>
    <w:rsid w:val="001A4BCD"/>
    <w:rsid w:val="001A6EE2"/>
    <w:rsid w:val="001B2EEF"/>
    <w:rsid w:val="001B5620"/>
    <w:rsid w:val="001C449A"/>
    <w:rsid w:val="001D18F7"/>
    <w:rsid w:val="001D3121"/>
    <w:rsid w:val="001D77D3"/>
    <w:rsid w:val="001D77E6"/>
    <w:rsid w:val="001E3637"/>
    <w:rsid w:val="001E5892"/>
    <w:rsid w:val="001E5926"/>
    <w:rsid w:val="00200033"/>
    <w:rsid w:val="00211D74"/>
    <w:rsid w:val="002266BB"/>
    <w:rsid w:val="00234BDB"/>
    <w:rsid w:val="002555AC"/>
    <w:rsid w:val="00260FEC"/>
    <w:rsid w:val="00267342"/>
    <w:rsid w:val="00267EC4"/>
    <w:rsid w:val="00272A74"/>
    <w:rsid w:val="002759D4"/>
    <w:rsid w:val="00280218"/>
    <w:rsid w:val="002857A7"/>
    <w:rsid w:val="0028701A"/>
    <w:rsid w:val="00290E82"/>
    <w:rsid w:val="00295171"/>
    <w:rsid w:val="002963CA"/>
    <w:rsid w:val="002969DE"/>
    <w:rsid w:val="002A3300"/>
    <w:rsid w:val="002B1E70"/>
    <w:rsid w:val="002B61C1"/>
    <w:rsid w:val="002C047F"/>
    <w:rsid w:val="002C77E6"/>
    <w:rsid w:val="002D183D"/>
    <w:rsid w:val="002F0FB6"/>
    <w:rsid w:val="00301C11"/>
    <w:rsid w:val="00302D14"/>
    <w:rsid w:val="00304769"/>
    <w:rsid w:val="00314FF4"/>
    <w:rsid w:val="003168C0"/>
    <w:rsid w:val="00317EB4"/>
    <w:rsid w:val="00320A9C"/>
    <w:rsid w:val="0032795F"/>
    <w:rsid w:val="00330203"/>
    <w:rsid w:val="00340136"/>
    <w:rsid w:val="003427B4"/>
    <w:rsid w:val="003428A1"/>
    <w:rsid w:val="0034315C"/>
    <w:rsid w:val="003520CA"/>
    <w:rsid w:val="0036443E"/>
    <w:rsid w:val="00366353"/>
    <w:rsid w:val="00367537"/>
    <w:rsid w:val="003730FC"/>
    <w:rsid w:val="00373FF3"/>
    <w:rsid w:val="0038626C"/>
    <w:rsid w:val="00387CED"/>
    <w:rsid w:val="003922EF"/>
    <w:rsid w:val="003B325A"/>
    <w:rsid w:val="003C054B"/>
    <w:rsid w:val="003C090E"/>
    <w:rsid w:val="003D22FD"/>
    <w:rsid w:val="003D26EF"/>
    <w:rsid w:val="003D60BE"/>
    <w:rsid w:val="003E0886"/>
    <w:rsid w:val="003E5E76"/>
    <w:rsid w:val="00415521"/>
    <w:rsid w:val="004209D8"/>
    <w:rsid w:val="00423B2D"/>
    <w:rsid w:val="00463A1C"/>
    <w:rsid w:val="00474F7A"/>
    <w:rsid w:val="0048127F"/>
    <w:rsid w:val="00482229"/>
    <w:rsid w:val="00482BB7"/>
    <w:rsid w:val="00492091"/>
    <w:rsid w:val="004C13F5"/>
    <w:rsid w:val="004C15DF"/>
    <w:rsid w:val="004C41E8"/>
    <w:rsid w:val="004C7267"/>
    <w:rsid w:val="004E67AD"/>
    <w:rsid w:val="004F1F5A"/>
    <w:rsid w:val="004F3FDA"/>
    <w:rsid w:val="004F7087"/>
    <w:rsid w:val="00504014"/>
    <w:rsid w:val="00506F86"/>
    <w:rsid w:val="00511DD3"/>
    <w:rsid w:val="00536117"/>
    <w:rsid w:val="005363BD"/>
    <w:rsid w:val="00544455"/>
    <w:rsid w:val="005461FD"/>
    <w:rsid w:val="00555A0E"/>
    <w:rsid w:val="00556C3C"/>
    <w:rsid w:val="005577E3"/>
    <w:rsid w:val="00565B4E"/>
    <w:rsid w:val="0057539B"/>
    <w:rsid w:val="00586498"/>
    <w:rsid w:val="00594EF7"/>
    <w:rsid w:val="00596862"/>
    <w:rsid w:val="005A3FC0"/>
    <w:rsid w:val="005B19D2"/>
    <w:rsid w:val="005B3B5F"/>
    <w:rsid w:val="005C2CA0"/>
    <w:rsid w:val="005C3AB3"/>
    <w:rsid w:val="005C7F52"/>
    <w:rsid w:val="005D0CB9"/>
    <w:rsid w:val="005D482C"/>
    <w:rsid w:val="005D526D"/>
    <w:rsid w:val="005F15FD"/>
    <w:rsid w:val="005F4B30"/>
    <w:rsid w:val="006025AB"/>
    <w:rsid w:val="00605BD2"/>
    <w:rsid w:val="00610955"/>
    <w:rsid w:val="006234A9"/>
    <w:rsid w:val="006234F9"/>
    <w:rsid w:val="00626CE0"/>
    <w:rsid w:val="00626F95"/>
    <w:rsid w:val="00630E48"/>
    <w:rsid w:val="00636256"/>
    <w:rsid w:val="00641AF2"/>
    <w:rsid w:val="00645A58"/>
    <w:rsid w:val="0064762F"/>
    <w:rsid w:val="00653D07"/>
    <w:rsid w:val="0065412E"/>
    <w:rsid w:val="0065433B"/>
    <w:rsid w:val="006615E8"/>
    <w:rsid w:val="0066356C"/>
    <w:rsid w:val="00665C13"/>
    <w:rsid w:val="00666159"/>
    <w:rsid w:val="00666E08"/>
    <w:rsid w:val="00675F27"/>
    <w:rsid w:val="0067797B"/>
    <w:rsid w:val="00691ECB"/>
    <w:rsid w:val="0069548E"/>
    <w:rsid w:val="00696051"/>
    <w:rsid w:val="006A21C5"/>
    <w:rsid w:val="006A3A55"/>
    <w:rsid w:val="006A662B"/>
    <w:rsid w:val="006B0817"/>
    <w:rsid w:val="006B4240"/>
    <w:rsid w:val="006D01F2"/>
    <w:rsid w:val="006D7D17"/>
    <w:rsid w:val="006E0470"/>
    <w:rsid w:val="006E313E"/>
    <w:rsid w:val="006F00C6"/>
    <w:rsid w:val="006F08D3"/>
    <w:rsid w:val="006F5370"/>
    <w:rsid w:val="006F5DFE"/>
    <w:rsid w:val="00701F3F"/>
    <w:rsid w:val="007025BB"/>
    <w:rsid w:val="00702AE4"/>
    <w:rsid w:val="0072378A"/>
    <w:rsid w:val="00725973"/>
    <w:rsid w:val="00725A13"/>
    <w:rsid w:val="00734168"/>
    <w:rsid w:val="007361D3"/>
    <w:rsid w:val="00737680"/>
    <w:rsid w:val="0075060E"/>
    <w:rsid w:val="00757A24"/>
    <w:rsid w:val="00765440"/>
    <w:rsid w:val="007660B8"/>
    <w:rsid w:val="007677B7"/>
    <w:rsid w:val="007755F2"/>
    <w:rsid w:val="00785CF4"/>
    <w:rsid w:val="007A58EC"/>
    <w:rsid w:val="007A7D53"/>
    <w:rsid w:val="007B68F3"/>
    <w:rsid w:val="007B6A52"/>
    <w:rsid w:val="007B7BCE"/>
    <w:rsid w:val="007C17F1"/>
    <w:rsid w:val="007D5580"/>
    <w:rsid w:val="007D5A6B"/>
    <w:rsid w:val="007E5F51"/>
    <w:rsid w:val="007E6733"/>
    <w:rsid w:val="0081510D"/>
    <w:rsid w:val="00815267"/>
    <w:rsid w:val="008160A6"/>
    <w:rsid w:val="00817BA4"/>
    <w:rsid w:val="00827BEE"/>
    <w:rsid w:val="00845A80"/>
    <w:rsid w:val="0085529C"/>
    <w:rsid w:val="008569B6"/>
    <w:rsid w:val="008579D9"/>
    <w:rsid w:val="00857DA6"/>
    <w:rsid w:val="00881ED3"/>
    <w:rsid w:val="00887615"/>
    <w:rsid w:val="00894F10"/>
    <w:rsid w:val="008A5DEB"/>
    <w:rsid w:val="008A7B22"/>
    <w:rsid w:val="008B0DAF"/>
    <w:rsid w:val="008B1059"/>
    <w:rsid w:val="008B7F7F"/>
    <w:rsid w:val="008C24DF"/>
    <w:rsid w:val="008C4C46"/>
    <w:rsid w:val="008C4D61"/>
    <w:rsid w:val="008D2241"/>
    <w:rsid w:val="008E459B"/>
    <w:rsid w:val="008E70CA"/>
    <w:rsid w:val="008F287D"/>
    <w:rsid w:val="008F6DEF"/>
    <w:rsid w:val="008F755B"/>
    <w:rsid w:val="009127EC"/>
    <w:rsid w:val="009229A9"/>
    <w:rsid w:val="009349B7"/>
    <w:rsid w:val="00934C58"/>
    <w:rsid w:val="00942492"/>
    <w:rsid w:val="00946479"/>
    <w:rsid w:val="00950549"/>
    <w:rsid w:val="009506BC"/>
    <w:rsid w:val="00951C29"/>
    <w:rsid w:val="009520F3"/>
    <w:rsid w:val="00953684"/>
    <w:rsid w:val="00953E3F"/>
    <w:rsid w:val="00955147"/>
    <w:rsid w:val="009614FF"/>
    <w:rsid w:val="00970CC7"/>
    <w:rsid w:val="009856C6"/>
    <w:rsid w:val="00985878"/>
    <w:rsid w:val="009977F8"/>
    <w:rsid w:val="009A1561"/>
    <w:rsid w:val="009A16BB"/>
    <w:rsid w:val="009A19FC"/>
    <w:rsid w:val="009A40BC"/>
    <w:rsid w:val="009A4A1B"/>
    <w:rsid w:val="009C040C"/>
    <w:rsid w:val="009C6806"/>
    <w:rsid w:val="009E5339"/>
    <w:rsid w:val="009E5A33"/>
    <w:rsid w:val="009F3EF9"/>
    <w:rsid w:val="00A042BE"/>
    <w:rsid w:val="00A108C5"/>
    <w:rsid w:val="00A15438"/>
    <w:rsid w:val="00A17BD9"/>
    <w:rsid w:val="00A24BB1"/>
    <w:rsid w:val="00A3173D"/>
    <w:rsid w:val="00A31D2A"/>
    <w:rsid w:val="00A3229D"/>
    <w:rsid w:val="00A430AD"/>
    <w:rsid w:val="00A500A9"/>
    <w:rsid w:val="00A54743"/>
    <w:rsid w:val="00A569C1"/>
    <w:rsid w:val="00A619D5"/>
    <w:rsid w:val="00A71633"/>
    <w:rsid w:val="00A733FC"/>
    <w:rsid w:val="00A77FAC"/>
    <w:rsid w:val="00A85789"/>
    <w:rsid w:val="00A9005D"/>
    <w:rsid w:val="00AA4B26"/>
    <w:rsid w:val="00AB559C"/>
    <w:rsid w:val="00AB707D"/>
    <w:rsid w:val="00AC0C87"/>
    <w:rsid w:val="00AC32CB"/>
    <w:rsid w:val="00AC4572"/>
    <w:rsid w:val="00AC4BDD"/>
    <w:rsid w:val="00AC53B5"/>
    <w:rsid w:val="00AC557E"/>
    <w:rsid w:val="00AD6978"/>
    <w:rsid w:val="00AD6BD6"/>
    <w:rsid w:val="00AE0CB6"/>
    <w:rsid w:val="00AE5F5C"/>
    <w:rsid w:val="00AF14A4"/>
    <w:rsid w:val="00AF2A0B"/>
    <w:rsid w:val="00AF4BF5"/>
    <w:rsid w:val="00B066E1"/>
    <w:rsid w:val="00B13E64"/>
    <w:rsid w:val="00B23FC9"/>
    <w:rsid w:val="00B401AB"/>
    <w:rsid w:val="00B45A25"/>
    <w:rsid w:val="00B45AED"/>
    <w:rsid w:val="00B615CC"/>
    <w:rsid w:val="00B62650"/>
    <w:rsid w:val="00B668E6"/>
    <w:rsid w:val="00B77FAB"/>
    <w:rsid w:val="00B84A7C"/>
    <w:rsid w:val="00B9360D"/>
    <w:rsid w:val="00B966BF"/>
    <w:rsid w:val="00B97BDC"/>
    <w:rsid w:val="00BA1596"/>
    <w:rsid w:val="00BB1067"/>
    <w:rsid w:val="00BC1FF2"/>
    <w:rsid w:val="00BC2A9B"/>
    <w:rsid w:val="00BC6F70"/>
    <w:rsid w:val="00BD2FC7"/>
    <w:rsid w:val="00BE2AF2"/>
    <w:rsid w:val="00BE5098"/>
    <w:rsid w:val="00BE663B"/>
    <w:rsid w:val="00BF5262"/>
    <w:rsid w:val="00C00655"/>
    <w:rsid w:val="00C038D6"/>
    <w:rsid w:val="00C05ADA"/>
    <w:rsid w:val="00C142DF"/>
    <w:rsid w:val="00C14BE2"/>
    <w:rsid w:val="00C17ADD"/>
    <w:rsid w:val="00C20AE7"/>
    <w:rsid w:val="00C23714"/>
    <w:rsid w:val="00C30F8D"/>
    <w:rsid w:val="00C3761D"/>
    <w:rsid w:val="00C42E36"/>
    <w:rsid w:val="00C51DF5"/>
    <w:rsid w:val="00C52AFA"/>
    <w:rsid w:val="00C62CEC"/>
    <w:rsid w:val="00C63C8B"/>
    <w:rsid w:val="00C665FE"/>
    <w:rsid w:val="00C6725A"/>
    <w:rsid w:val="00C70969"/>
    <w:rsid w:val="00C753A8"/>
    <w:rsid w:val="00C9280F"/>
    <w:rsid w:val="00C96B51"/>
    <w:rsid w:val="00CA70A6"/>
    <w:rsid w:val="00CB5F2B"/>
    <w:rsid w:val="00CC2AFF"/>
    <w:rsid w:val="00CC4036"/>
    <w:rsid w:val="00CE3E76"/>
    <w:rsid w:val="00CE7694"/>
    <w:rsid w:val="00CF1777"/>
    <w:rsid w:val="00CF413A"/>
    <w:rsid w:val="00CF7A31"/>
    <w:rsid w:val="00D03E0A"/>
    <w:rsid w:val="00D14A2F"/>
    <w:rsid w:val="00D16B1A"/>
    <w:rsid w:val="00D2647B"/>
    <w:rsid w:val="00D27ED9"/>
    <w:rsid w:val="00D3177A"/>
    <w:rsid w:val="00D3198D"/>
    <w:rsid w:val="00D32952"/>
    <w:rsid w:val="00D34A0A"/>
    <w:rsid w:val="00D427DA"/>
    <w:rsid w:val="00D60F84"/>
    <w:rsid w:val="00D67FF8"/>
    <w:rsid w:val="00D7190F"/>
    <w:rsid w:val="00D76CEA"/>
    <w:rsid w:val="00D820DF"/>
    <w:rsid w:val="00D821BB"/>
    <w:rsid w:val="00D90B98"/>
    <w:rsid w:val="00D9395D"/>
    <w:rsid w:val="00DA509B"/>
    <w:rsid w:val="00DB3343"/>
    <w:rsid w:val="00DB5424"/>
    <w:rsid w:val="00DC3A53"/>
    <w:rsid w:val="00DC758C"/>
    <w:rsid w:val="00DD15AE"/>
    <w:rsid w:val="00DD3A53"/>
    <w:rsid w:val="00DE365B"/>
    <w:rsid w:val="00DE4CC9"/>
    <w:rsid w:val="00DF1D9F"/>
    <w:rsid w:val="00DF6BC0"/>
    <w:rsid w:val="00E01C10"/>
    <w:rsid w:val="00E02C37"/>
    <w:rsid w:val="00E057B2"/>
    <w:rsid w:val="00E13B26"/>
    <w:rsid w:val="00E20541"/>
    <w:rsid w:val="00E27316"/>
    <w:rsid w:val="00E31010"/>
    <w:rsid w:val="00E3616A"/>
    <w:rsid w:val="00E375A4"/>
    <w:rsid w:val="00E4621D"/>
    <w:rsid w:val="00E4638C"/>
    <w:rsid w:val="00E4677B"/>
    <w:rsid w:val="00E56D56"/>
    <w:rsid w:val="00E5759A"/>
    <w:rsid w:val="00E87958"/>
    <w:rsid w:val="00E949F8"/>
    <w:rsid w:val="00EA2304"/>
    <w:rsid w:val="00EA4E68"/>
    <w:rsid w:val="00EA65CE"/>
    <w:rsid w:val="00EB532F"/>
    <w:rsid w:val="00EC450C"/>
    <w:rsid w:val="00F02169"/>
    <w:rsid w:val="00F02265"/>
    <w:rsid w:val="00F10397"/>
    <w:rsid w:val="00F132B4"/>
    <w:rsid w:val="00F15B8C"/>
    <w:rsid w:val="00F17BA6"/>
    <w:rsid w:val="00F20907"/>
    <w:rsid w:val="00F23740"/>
    <w:rsid w:val="00F33DF4"/>
    <w:rsid w:val="00F371C8"/>
    <w:rsid w:val="00F406C0"/>
    <w:rsid w:val="00F408DF"/>
    <w:rsid w:val="00F477A4"/>
    <w:rsid w:val="00F47BF1"/>
    <w:rsid w:val="00F501C8"/>
    <w:rsid w:val="00F55AB2"/>
    <w:rsid w:val="00F64470"/>
    <w:rsid w:val="00F6629B"/>
    <w:rsid w:val="00F7143F"/>
    <w:rsid w:val="00F80827"/>
    <w:rsid w:val="00F81FE8"/>
    <w:rsid w:val="00F85F76"/>
    <w:rsid w:val="00FA0F71"/>
    <w:rsid w:val="00FA5B8E"/>
    <w:rsid w:val="00FE4569"/>
    <w:rsid w:val="00FE637A"/>
    <w:rsid w:val="00FE6AC3"/>
    <w:rsid w:val="00FE6ECB"/>
    <w:rsid w:val="00FF007A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4A93872-FFAC-449D-94E2-E43C2C02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4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73F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677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A430AD"/>
    <w:pPr>
      <w:spacing w:before="100" w:beforeAutospacing="1" w:after="100" w:afterAutospacing="1"/>
    </w:pPr>
  </w:style>
  <w:style w:type="character" w:styleId="a4">
    <w:name w:val="Hyperlink"/>
    <w:uiPriority w:val="99"/>
    <w:rsid w:val="00E02C37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rsid w:val="00AC0C87"/>
    <w:pPr>
      <w:spacing w:before="120" w:after="120"/>
    </w:pPr>
    <w:rPr>
      <w:b/>
      <w:bCs/>
      <w:caps/>
      <w:sz w:val="20"/>
      <w:szCs w:val="20"/>
    </w:rPr>
  </w:style>
  <w:style w:type="paragraph" w:customStyle="1" w:styleId="a5">
    <w:name w:val="Обычный текст"/>
    <w:basedOn w:val="a"/>
    <w:rsid w:val="002B61C1"/>
    <w:pPr>
      <w:ind w:firstLine="454"/>
      <w:jc w:val="both"/>
    </w:pPr>
    <w:rPr>
      <w:szCs w:val="20"/>
    </w:rPr>
  </w:style>
  <w:style w:type="character" w:styleId="a6">
    <w:name w:val="Strong"/>
    <w:uiPriority w:val="22"/>
    <w:qFormat/>
    <w:rsid w:val="004C7267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9536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953684"/>
    <w:rPr>
      <w:rFonts w:cs="Times New Roman"/>
    </w:rPr>
  </w:style>
  <w:style w:type="character" w:styleId="aa">
    <w:name w:val="FollowedHyperlink"/>
    <w:uiPriority w:val="99"/>
    <w:rsid w:val="00641AF2"/>
    <w:rPr>
      <w:rFonts w:cs="Times New Roman"/>
      <w:color w:val="800080"/>
      <w:u w:val="single"/>
    </w:rPr>
  </w:style>
  <w:style w:type="paragraph" w:styleId="ab">
    <w:name w:val="header"/>
    <w:basedOn w:val="a"/>
    <w:link w:val="ac"/>
    <w:uiPriority w:val="99"/>
    <w:rsid w:val="000C42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rsid w:val="00DE4CC9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rsid w:val="00DE4CC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DE4CC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rsid w:val="00DE4CC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DE4CC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DE4CC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DE4CC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DE4CC9"/>
    <w:pPr>
      <w:ind w:left="1920"/>
    </w:pPr>
    <w:rPr>
      <w:sz w:val="18"/>
      <w:szCs w:val="18"/>
    </w:rPr>
  </w:style>
  <w:style w:type="paragraph" w:customStyle="1" w:styleId="ad">
    <w:name w:val="АА"/>
    <w:basedOn w:val="a"/>
    <w:qFormat/>
    <w:rsid w:val="00AC53B5"/>
    <w:pPr>
      <w:overflowPunct w:val="0"/>
      <w:autoSpaceDE w:val="0"/>
      <w:autoSpaceDN w:val="0"/>
      <w:adjustRightInd w:val="0"/>
      <w:ind w:firstLine="709"/>
      <w:contextualSpacing/>
      <w:jc w:val="both"/>
    </w:pPr>
    <w:rPr>
      <w:sz w:val="28"/>
      <w:szCs w:val="28"/>
    </w:rPr>
  </w:style>
  <w:style w:type="paragraph" w:customStyle="1" w:styleId="ae">
    <w:name w:val="Б"/>
    <w:basedOn w:val="a"/>
    <w:qFormat/>
    <w:rsid w:val="00AC53B5"/>
    <w:pPr>
      <w:contextualSpacing/>
    </w:pPr>
    <w:rPr>
      <w:sz w:val="20"/>
    </w:rPr>
  </w:style>
  <w:style w:type="table" w:styleId="af">
    <w:name w:val="Table Grid"/>
    <w:basedOn w:val="a1"/>
    <w:uiPriority w:val="59"/>
    <w:rsid w:val="008B0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5484</Words>
  <Characters>31260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Европейская валютная система: процесс становления, особенности на современном этапе</vt:lpstr>
    </vt:vector>
  </TitlesOfParts>
  <Company>MoBIL GROUP</Company>
  <LinksUpToDate>false</LinksUpToDate>
  <CharactersWithSpaces>36671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Европейская валютная система: процесс становления, особенности на современном этапе</dc:title>
  <dc:subject/>
  <dc:creator>Admin</dc:creator>
  <cp:keywords/>
  <dc:description/>
  <cp:lastModifiedBy>admin</cp:lastModifiedBy>
  <cp:revision>2</cp:revision>
  <dcterms:created xsi:type="dcterms:W3CDTF">2014-03-12T12:29:00Z</dcterms:created>
  <dcterms:modified xsi:type="dcterms:W3CDTF">2014-03-12T12:29:00Z</dcterms:modified>
</cp:coreProperties>
</file>