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4E2" w:rsidRPr="003B2634" w:rsidRDefault="00E244E2" w:rsidP="003B2634">
      <w:pPr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3B2634">
        <w:rPr>
          <w:sz w:val="28"/>
          <w:lang w:val="uk-UA"/>
        </w:rPr>
        <w:t>Грошова маса та її показник</w:t>
      </w:r>
    </w:p>
    <w:p w:rsidR="003B2634" w:rsidRDefault="003B2634" w:rsidP="003B2634">
      <w:pPr>
        <w:widowControl w:val="0"/>
        <w:spacing w:line="360" w:lineRule="auto"/>
        <w:ind w:firstLine="709"/>
        <w:jc w:val="both"/>
        <w:rPr>
          <w:sz w:val="28"/>
          <w:lang w:val="uk-UA"/>
        </w:rPr>
      </w:pPr>
    </w:p>
    <w:p w:rsidR="00E244E2" w:rsidRPr="003B2634" w:rsidRDefault="00E244E2" w:rsidP="003B2634">
      <w:pPr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3B2634">
        <w:rPr>
          <w:sz w:val="28"/>
          <w:lang w:val="uk-UA"/>
        </w:rPr>
        <w:t>Грошова маса – це сукупність купівельних, платіжних та накопичу вальних засобів, яка обслуговує економічні</w:t>
      </w:r>
      <w:r w:rsidR="003B2634" w:rsidRPr="003B2634">
        <w:rPr>
          <w:sz w:val="28"/>
          <w:lang w:val="uk-UA"/>
        </w:rPr>
        <w:t xml:space="preserve"> </w:t>
      </w:r>
      <w:r w:rsidRPr="003B2634">
        <w:rPr>
          <w:sz w:val="28"/>
          <w:lang w:val="uk-UA"/>
        </w:rPr>
        <w:t>зв'язки, належить фізичним та юридичним особам, а також державі. Це важливий кількісний показник руху грошей.</w:t>
      </w:r>
    </w:p>
    <w:p w:rsidR="00E244E2" w:rsidRPr="003B2634" w:rsidRDefault="00E244E2" w:rsidP="003B2634">
      <w:pPr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3B2634">
        <w:rPr>
          <w:sz w:val="28"/>
          <w:lang w:val="uk-UA"/>
        </w:rPr>
        <w:t>З розвитком форм товарного обміну та платіжно-розрахункових відносин склад та структура грошової маси зазнали значних змін. На початку XX століття при золотому обігу структура грошової маси була в розвину тих країнах наступною: золоті монети складали 40%, банкноти та інші кредитні гроші – 50%, і залишки на рахунках кредитних установ – 10%; напередодні Першої світової війни – відповідно 15, 22 і 67%. Вилучення золотих грошей спочатку з внутрішнього обігу, а надалі із зовнішнього внесло якісні зміни в структуру грошової маси. Повноцінні гроші (золоті) повністю зникли з обігу, домінуюче положення зайняли нерозмінні кредитні гроші, які стали функціонувати в готівковій та безготівковій формах.</w:t>
      </w:r>
    </w:p>
    <w:p w:rsidR="00E244E2" w:rsidRPr="003B2634" w:rsidRDefault="00E244E2" w:rsidP="003B2634">
      <w:pPr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3B2634">
        <w:rPr>
          <w:sz w:val="28"/>
          <w:lang w:val="uk-UA"/>
        </w:rPr>
        <w:t>Для аналізу зміни руху грошей на певну дату і за певний період у фінансовій статистиці спочатку в економічно розвинутих країнах, а надалі і в нашій країні, стали використовувати грошові агрегати МО, М1, М2, МЗ, М4.</w:t>
      </w:r>
    </w:p>
    <w:p w:rsidR="00E244E2" w:rsidRPr="003B2634" w:rsidRDefault="00E244E2" w:rsidP="003B2634">
      <w:pPr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3B2634">
        <w:rPr>
          <w:sz w:val="28"/>
          <w:lang w:val="uk-UA"/>
        </w:rPr>
        <w:t>Агрегат МО включає готівкові кошти в обігу: банкноти, металеві монети, казначейські білети (в деяких країнах). Металеві монети, що складають незначну частину готівки (в розвинутих країнах 2-3%), дають можливість особам здійснювати дрібні розрахунки. Ці монети карбуються з дешевих металів. Реальна вартість монети значно нижча за номінальну, щоб не допустити їх переплавку з метою прибуткового продажу у формі зливків.</w:t>
      </w:r>
    </w:p>
    <w:p w:rsidR="00E244E2" w:rsidRPr="003B2634" w:rsidRDefault="00E244E2" w:rsidP="003B2634">
      <w:pPr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3B2634">
        <w:rPr>
          <w:sz w:val="28"/>
          <w:lang w:val="uk-UA"/>
        </w:rPr>
        <w:t>Казначейські білети – паперові гроші, емісія яких здійснюється казначейством. Паперові гроші в даний час функціонують в слаборозвинутих країнах. Переважна роль належить банкнотам, які за своєю сутністю близькі в сучасних умовах до казначейських білетів.</w:t>
      </w:r>
    </w:p>
    <w:p w:rsidR="00E244E2" w:rsidRPr="003B2634" w:rsidRDefault="00E244E2" w:rsidP="003B2634">
      <w:pPr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3B2634">
        <w:rPr>
          <w:sz w:val="28"/>
          <w:lang w:val="uk-UA"/>
        </w:rPr>
        <w:t>Агрегат М1 складається з агрегату МО і засобів на поточних рахунках банків. Кошти на рахунках можуть використовуватися для платежів в безготівковій формі, через трансформацію в готівкові кошти і без переведення на інші рахунки. Для розрахунків власники рахунків виписують платіжні доручення (переважна форма розрахунків в українській економіці) або чеки та акредитиви. Саме агрегат М1 обслуговує операції по реалізації валового внутрішнього продукту (ВВП), розподілу та перерозподілу національного доходу, накопиченню та споживанню.</w:t>
      </w:r>
    </w:p>
    <w:p w:rsidR="00E244E2" w:rsidRPr="003B2634" w:rsidRDefault="00E244E2" w:rsidP="003B2634">
      <w:pPr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3B2634">
        <w:rPr>
          <w:sz w:val="28"/>
          <w:lang w:val="uk-UA"/>
        </w:rPr>
        <w:t>Агрегат М2 містить агрегат МІ, термінові та заощаджу-вальні депозити в комерційних банках, а також короткострокові державні цінні папери. Останні не функціонують як засоби обігу, але можуть перетворюватись на готівкові кошти або чекові рахунки. Заощаджувальні депозити в комерційних банках знімаються в будь-який час і перетворюються на готівку. Термінові депозити доступні вкладнику лише при закінченні певного ороку, у них менша ліквідність, ніж у заощаджувадьних депозитах.</w:t>
      </w:r>
    </w:p>
    <w:p w:rsidR="00E244E2" w:rsidRPr="003B2634" w:rsidRDefault="00E244E2" w:rsidP="003B2634">
      <w:pPr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3B2634">
        <w:rPr>
          <w:sz w:val="28"/>
          <w:lang w:val="uk-UA"/>
        </w:rPr>
        <w:t>Агрегат МЗ містить агрегат М2, заощаджувальні вклади в спеціалізованих кредитних закладах, а також цінні папери, які обертаються на грошовому ринку, в тому числі комерційні векселі, які виписуються підприємствами. Ця частина коштів, яка вкладена в цінні папери, створюється не банківською системою, але знаходиться під її контролем, оскільки перетворення векселя в засіб платежу потребує, як правило, акцепту банку, тобто гарантії його сплати банком у випадку неплатоспроможності емітента.</w:t>
      </w:r>
    </w:p>
    <w:p w:rsidR="00E244E2" w:rsidRPr="003B2634" w:rsidRDefault="00E244E2" w:rsidP="003B2634">
      <w:pPr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3B2634">
        <w:rPr>
          <w:sz w:val="28"/>
          <w:lang w:val="uk-UA"/>
        </w:rPr>
        <w:t>Агрегат М4 дорівнює агрегату МЗ плюс різні форми депозитів в кредитних закладах.</w:t>
      </w:r>
    </w:p>
    <w:p w:rsidR="00E244E2" w:rsidRPr="003B2634" w:rsidRDefault="00E244E2" w:rsidP="003B2634">
      <w:pPr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3B2634">
        <w:rPr>
          <w:sz w:val="28"/>
          <w:lang w:val="uk-UA"/>
        </w:rPr>
        <w:t>Між агрегатами необхідна рівновага, в іншому випадку відбувається порушення грошового обігу. Практика показує, що рівновага буде, коли М2 &gt; МІ (вона закріплюється при М2 + МЗ &gt;М1).</w:t>
      </w:r>
    </w:p>
    <w:p w:rsidR="00E244E2" w:rsidRPr="003B2634" w:rsidRDefault="00E244E2" w:rsidP="003B2634">
      <w:pPr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3B2634">
        <w:rPr>
          <w:sz w:val="28"/>
          <w:lang w:val="uk-UA"/>
        </w:rPr>
        <w:t>В цьому випадку грошовий капітал переходить з готівкового обігу в безготівковий. При порушенні цього співвідношення між агрегатами в грошовому обігу починаються ускладнення: недостатність грошових знаків, зростання цін тощо.</w:t>
      </w:r>
    </w:p>
    <w:p w:rsidR="00E244E2" w:rsidRPr="003B2634" w:rsidRDefault="00E244E2" w:rsidP="003B2634">
      <w:pPr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3B2634">
        <w:rPr>
          <w:sz w:val="28"/>
          <w:lang w:val="uk-UA"/>
        </w:rPr>
        <w:t>Для визначення грошової маси держави використовують різну кількість агрегатів (наприклад, США – 4, Франція – 2). В Росії та Україні для розрахунку сукупної грошової маси використовують агрегати МО, МІ ,М2 і МЗ. Дані грошові агрегати включають:</w:t>
      </w:r>
    </w:p>
    <w:p w:rsidR="00E244E2" w:rsidRPr="003B2634" w:rsidRDefault="00E244E2" w:rsidP="003B2634">
      <w:pPr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3B2634">
        <w:rPr>
          <w:sz w:val="28"/>
          <w:lang w:val="uk-UA"/>
        </w:rPr>
        <w:t>- МО – готівкові гроші в обігу;</w:t>
      </w:r>
    </w:p>
    <w:p w:rsidR="00E244E2" w:rsidRPr="003B2634" w:rsidRDefault="00E244E2" w:rsidP="003B2634">
      <w:pPr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3B2634">
        <w:rPr>
          <w:sz w:val="28"/>
          <w:lang w:val="uk-UA"/>
        </w:rPr>
        <w:t>- МІ, крім МО – кошти підприємств на розрахункових, поточних спеціальних рахунках в банках, депозити населення в ощадних банках до запитання, коштів страхових компаній;</w:t>
      </w:r>
    </w:p>
    <w:p w:rsidR="00E244E2" w:rsidRPr="003B2634" w:rsidRDefault="00E244E2" w:rsidP="003B2634">
      <w:pPr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3B2634">
        <w:rPr>
          <w:sz w:val="28"/>
          <w:lang w:val="uk-UA"/>
        </w:rPr>
        <w:t>- М2 дорівнює МІ плюс термінові депозити населення в ощадних банках, в тому числі компенсація;</w:t>
      </w:r>
    </w:p>
    <w:p w:rsidR="00E244E2" w:rsidRPr="003B2634" w:rsidRDefault="00E244E2" w:rsidP="003B2634">
      <w:pPr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3B2634">
        <w:rPr>
          <w:sz w:val="28"/>
          <w:lang w:val="uk-UA"/>
        </w:rPr>
        <w:t>- МЗ, складається з М2 і сертифікатів та облігацій державної позики.</w:t>
      </w:r>
    </w:p>
    <w:p w:rsidR="00E244E2" w:rsidRPr="003B2634" w:rsidRDefault="00E244E2" w:rsidP="003B2634">
      <w:pPr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3B2634">
        <w:rPr>
          <w:sz w:val="28"/>
          <w:lang w:val="uk-UA"/>
        </w:rPr>
        <w:t>Близько третини грошової маси в Україні припадає на готівкові гроші, причому має місце тенденція зростання цього грошового агрегату (МО).</w:t>
      </w:r>
    </w:p>
    <w:p w:rsidR="00E244E2" w:rsidRPr="003B2634" w:rsidRDefault="00E244E2" w:rsidP="003B2634">
      <w:pPr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3B2634">
        <w:rPr>
          <w:sz w:val="28"/>
          <w:lang w:val="uk-UA"/>
        </w:rPr>
        <w:t>Збільшення кількості готівкових грошей, які обслуговують населення, а в сучасних умовах до них часто звертаються юридичні особи, викликає нестачу грошей у держави. Перехід грошей з безготівкового обігу в готівковий – результат жорсткої фінансової політики, який призведе до розширення ухилень від сплати податків. Крім того, скорочення безготівкового обороту свідчить про зниження здатності держави впливати на реальні господарські процеси.</w:t>
      </w:r>
    </w:p>
    <w:p w:rsidR="00E244E2" w:rsidRPr="003B2634" w:rsidRDefault="00E244E2" w:rsidP="003B2634">
      <w:pPr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3B2634">
        <w:rPr>
          <w:sz w:val="28"/>
          <w:lang w:val="uk-UA"/>
        </w:rPr>
        <w:t>На грошову масу впливають два фактори: кількість грошей та швидкість їх обертання.</w:t>
      </w:r>
    </w:p>
    <w:p w:rsidR="00E244E2" w:rsidRPr="003B2634" w:rsidRDefault="00E244E2" w:rsidP="003B2634">
      <w:pPr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3B2634">
        <w:rPr>
          <w:sz w:val="28"/>
          <w:lang w:val="uk-UA"/>
        </w:rPr>
        <w:t>Кількість грошової маси визначається державою – емітентом грошей, а саме: його законодавчою владою. Збільшення емісії обумовлене потребами товарного обороту і держави. В Україні головна причина збільшення грошової маси – держава, точніше великий дефіцит державного бюджету, який в значній мірі погашався в 1992-1994 рр. випуском додаткових грошей в обіг. Товарний оборот в той же час в реальному вираженні скоротився через падіння темпів виробництва.</w:t>
      </w:r>
    </w:p>
    <w:p w:rsidR="00E244E2" w:rsidRPr="003B2634" w:rsidRDefault="00E244E2" w:rsidP="003B2634">
      <w:pPr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3B2634">
        <w:rPr>
          <w:sz w:val="28"/>
          <w:lang w:val="uk-UA"/>
        </w:rPr>
        <w:t>Інший фактор, який впливає на грошову масу, – швидкість обігу грошей, тобто їх інтенсивний рух при виконанні ними функцій обігу і платежу. Для розрахунку цього показника використовують непрямі методи, серед яких:</w:t>
      </w:r>
    </w:p>
    <w:p w:rsidR="00E244E2" w:rsidRPr="003B2634" w:rsidRDefault="00E244E2" w:rsidP="003B2634">
      <w:pPr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3B2634">
        <w:rPr>
          <w:sz w:val="28"/>
          <w:lang w:val="uk-UA"/>
        </w:rPr>
        <w:t>• швидкість руху грошей в кругообігу вартості суспільного продукту або кругообігу прибутків визначається як відношення:</w:t>
      </w:r>
    </w:p>
    <w:p w:rsidR="00E244E2" w:rsidRPr="003B2634" w:rsidRDefault="00E244E2" w:rsidP="003B2634">
      <w:pPr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3B2634">
        <w:rPr>
          <w:sz w:val="28"/>
          <w:lang w:val="uk-UA"/>
        </w:rPr>
        <w:t>Валовий національний продукт або національний прибуток Грошова маса (агрегати МІ, або М2)</w:t>
      </w:r>
    </w:p>
    <w:p w:rsidR="00E244E2" w:rsidRPr="003B2634" w:rsidRDefault="00E244E2" w:rsidP="003B2634">
      <w:pPr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3B2634">
        <w:rPr>
          <w:sz w:val="28"/>
          <w:lang w:val="uk-UA"/>
        </w:rPr>
        <w:t>цей показник свідчить про зв'язок між грошовим обігом і процесами економічного розвитку;</w:t>
      </w:r>
    </w:p>
    <w:p w:rsidR="00E244E2" w:rsidRPr="003B2634" w:rsidRDefault="00E244E2" w:rsidP="003B2634">
      <w:pPr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3B2634">
        <w:rPr>
          <w:sz w:val="28"/>
          <w:lang w:val="uk-UA"/>
        </w:rPr>
        <w:t>• обертання грошей в платіжному обороті визначається співвідношенням:</w:t>
      </w:r>
    </w:p>
    <w:p w:rsidR="00E244E2" w:rsidRPr="003B2634" w:rsidRDefault="00E244E2" w:rsidP="003B2634">
      <w:pPr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3B2634">
        <w:rPr>
          <w:sz w:val="28"/>
          <w:lang w:val="uk-UA"/>
        </w:rPr>
        <w:t>Сума грошей на банківських рахунках Середньорічна величина грошової маси в обігу</w:t>
      </w:r>
    </w:p>
    <w:p w:rsidR="00E244E2" w:rsidRPr="003B2634" w:rsidRDefault="00E244E2" w:rsidP="003B2634">
      <w:pPr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3B2634">
        <w:rPr>
          <w:sz w:val="28"/>
          <w:lang w:val="uk-UA"/>
        </w:rPr>
        <w:t>Цей показник свідчить про швидкість безготівкових розрахунків. Використовуються також й інші показники швидкості обігу грошей.</w:t>
      </w:r>
    </w:p>
    <w:p w:rsidR="00E244E2" w:rsidRPr="003B2634" w:rsidRDefault="00E244E2" w:rsidP="003B2634">
      <w:pPr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3B2634">
        <w:rPr>
          <w:sz w:val="28"/>
          <w:lang w:val="uk-UA"/>
        </w:rPr>
        <w:t>На швидкість обігу грошей впливають загальноекономічні фактори, тобто циклічний розвиток виробництва, темпи його зростання, рух цін, а також грошові (монетарні) фактори, тобто структура платіжного обороту (співвідношення готівкових і безготівкових грошей), розвиток кредитних операцій і взаємних розрахунків, рівень процентних ставок за кредит на грошовому ринку, а також впровадження комп'ютерів для операцій в кредитних установах і використання електронних грошей в розрахунках. Крім цих загальних факторів, швидкість обігу грошей залежить від періодичності виплати доходів, рівномірності витрат населенням своїх коштів, рівня заощадження і накопичення.</w:t>
      </w:r>
    </w:p>
    <w:p w:rsidR="00E244E2" w:rsidRPr="003B2634" w:rsidRDefault="00E244E2" w:rsidP="003B2634">
      <w:pPr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3B2634">
        <w:rPr>
          <w:sz w:val="28"/>
          <w:lang w:val="uk-UA"/>
        </w:rPr>
        <w:t xml:space="preserve">Але так як швидкість обігу грошей обернено пропорційна кількості грошей в обігу, прискорення їх оборотності означає збільшення грошової маси. Збільшена грошова маса при тому ж обсязі товарів і послуг на ринку призводить до знецінення грошей, тобто в кінцевому підсумку є одним з факторів інфляційного процесу. </w:t>
      </w:r>
    </w:p>
    <w:p w:rsidR="003B2634" w:rsidRDefault="003B2634" w:rsidP="003B2634">
      <w:pPr>
        <w:widowControl w:val="0"/>
        <w:spacing w:line="360" w:lineRule="auto"/>
        <w:ind w:firstLine="709"/>
        <w:jc w:val="both"/>
        <w:rPr>
          <w:sz w:val="28"/>
          <w:lang w:val="uk-UA"/>
        </w:rPr>
      </w:pPr>
    </w:p>
    <w:p w:rsidR="00E244E2" w:rsidRPr="003B2634" w:rsidRDefault="00E244E2" w:rsidP="003B2634">
      <w:pPr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3B2634">
        <w:rPr>
          <w:sz w:val="28"/>
          <w:lang w:val="uk-UA"/>
        </w:rPr>
        <w:t>Регулювання грошової маси</w:t>
      </w:r>
    </w:p>
    <w:p w:rsidR="003B2634" w:rsidRDefault="003B2634" w:rsidP="003B2634">
      <w:pPr>
        <w:widowControl w:val="0"/>
        <w:spacing w:line="360" w:lineRule="auto"/>
        <w:ind w:firstLine="709"/>
        <w:jc w:val="both"/>
        <w:rPr>
          <w:sz w:val="28"/>
          <w:lang w:val="uk-UA"/>
        </w:rPr>
      </w:pPr>
    </w:p>
    <w:p w:rsidR="00E244E2" w:rsidRPr="003B2634" w:rsidRDefault="00E244E2" w:rsidP="003B2634">
      <w:pPr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3B2634">
        <w:rPr>
          <w:sz w:val="28"/>
          <w:lang w:val="uk-UA"/>
        </w:rPr>
        <w:t>Виходячи із завдання регулювання платоспроможного попиту центральні банки визначають цільові орієнтири (таргети) збільшення грошової маси в обігу, в зв'язку з чим подібного роду практика одержала назву "грошове таргетування".</w:t>
      </w:r>
    </w:p>
    <w:p w:rsidR="00E244E2" w:rsidRPr="003B2634" w:rsidRDefault="00E244E2" w:rsidP="003B2634">
      <w:pPr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3B2634">
        <w:rPr>
          <w:sz w:val="28"/>
          <w:lang w:val="uk-UA"/>
        </w:rPr>
        <w:t>Важливе значення для ефективного регулювання динаміки грошової маси за допомогою цільових орієнтирів має порядок їх встановлення або у вигляді контрольних цифр (Франція), або "вилки" (США) чи прогнозу (Японія).</w:t>
      </w:r>
    </w:p>
    <w:p w:rsidR="00E244E2" w:rsidRPr="003B2634" w:rsidRDefault="00E244E2" w:rsidP="003B2634">
      <w:pPr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3B2634">
        <w:rPr>
          <w:sz w:val="28"/>
          <w:lang w:val="uk-UA"/>
        </w:rPr>
        <w:t>В різних країнах цільові орієнтири встановлюються на неоднакові строки: у Великобританії найбільш дієздатним був визнаний однорічний строк грошового таргетування, розглянутий як оптимальний для можливого взаємного погашення тимчасових коливань процентних ставок; в Японії прогнози зростання грошового агрегату публікуються на початку кожного кварталу; в Італії цільові орієнтири встановлюються строком на 1 місяць з врахуванням сезонних і деяких інших тимчасово діючих факторів.</w:t>
      </w:r>
    </w:p>
    <w:p w:rsidR="00E244E2" w:rsidRPr="003B2634" w:rsidRDefault="00E244E2" w:rsidP="003B2634">
      <w:pPr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3B2634">
        <w:rPr>
          <w:sz w:val="28"/>
          <w:lang w:val="uk-UA"/>
        </w:rPr>
        <w:t>Основний метод регулювання грошового обороту, який використовується центральним банком – проведення ним кредитних, інвестиційних і валютних операцій. Центральний банк повністю визначає величину грошової маси М0, створюючи гроші і вилучаючи їх з обороту безпосередньо в ході своїх операцій. В умовах відносно стабільного набору кредитних інструментів, технічного оснащення розрахунків, дієздатності встановлених для комерційних банків нормативних показників величин М0, М1 і М2 прослідковується досить високий кореляційний зв'язок. Це дозволяє центральним банкам контролювати будь-який з показників грошової маси за допомогою зміни грошового агрегату М0. Тим самим центральні банки повністю контролюють обсяг грошової маси в обігу, оперативно регулюючи її величину в залежності від цільової установки.</w:t>
      </w:r>
    </w:p>
    <w:p w:rsidR="00E244E2" w:rsidRPr="003B2634" w:rsidRDefault="00E244E2" w:rsidP="003B2634">
      <w:pPr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3B2634">
        <w:rPr>
          <w:sz w:val="28"/>
          <w:lang w:val="uk-UA"/>
        </w:rPr>
        <w:t>В різних країнах і в різні періоди в якості цільових орієнтирів обирались різні показники грошової маси. Вибір того чи іншого грошового агрегату в якості регульованого, як правило, визначався кінцевою метою грошово-кредитної політики. Так, агрегат МІ асоціювався з масштабами купівельної спроможності фізичних осіб. Більш широкі грошові агрегати М2 і МЗ включають в себе значну частину фінансових активів, які не можуть використовуватися негайно. В залежності від того, які цілі переслідує центральний банк (лише зниження темпів інфляції, досягнення економічного зростання), для орієнтиру обирається той чи інший грошовий агрегат. Наприклад, у Великобританії центральний банк встановлює грошові орієнтири "на широку грошову масу" по великому колу показників. Вже на початку 70-х рр. XX ст. банк Англії посилив увагу до контролю за грошовим обігом як до засобу макроекономічного регулювання. У 80-х рр. в зв'язку з прийняттям середньострокової фінансової стратегії антиінфляційної спрямованості банк Англії поставив перед собою завдання зменшення об'єму грошової маси, а також послідовного скорочення державних витрат, взаємну для покриття держбюджету і зменшення самого дефіциту. Рішення настільки неоднозначних завдань потребувало і вибору адекватного грошового агрегату для таргетування. Таким був визнаний агрегат МЗ, який містив всі елементи, що впливали на розвиток інфляційного процесу, і в той же час пов'язаний з фіскальною політикою шляхом включення в його вимоги державного сектора.</w:t>
      </w:r>
    </w:p>
    <w:p w:rsidR="00E244E2" w:rsidRPr="003B2634" w:rsidRDefault="00E244E2" w:rsidP="003B2634">
      <w:pPr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3B2634">
        <w:rPr>
          <w:sz w:val="28"/>
          <w:lang w:val="uk-UA"/>
        </w:rPr>
        <w:t>В Німеччині цільовий орієнтир встановлюється на більш "вузьку" грошову масу. В якості грошового орієнтира Бундесбанк обрав агрегат, який він назвав "Центральні банківські гроші (ЦБГ)". Даний агрегат, який наближається за своїм якісним складом до МЗ, мас деякі особливості. ЦБГ включають в себе готівкові гроші і мінімальні резерви комерційних банків, депоновані в центральному банку. Ці резерви (в МЗ Бундесбанк включає готівкові гроші, депозити до запитання, термінові і ощадні депозити) калькулюються на базі розроблених коефіцієнтів і відображають різні види банківських зобов'язань по відношенню до резидентів з врахуванням неоднакової ступені ліквідності різних видів депозитів. Головною перевагою використання ЦБГ в порівнянні з МЗ є те, що центральний банк несе відповідальність за збільшення грошової маси, а також має можливість прослідкувати внесок самого Бундесбанку в створення грошової маси. Іншою перевагою цього показника є наявність необхідних статистичних даних для розрахунку на щоденний об'єм готівкових грошей і обов'язкових резервних вимог комерційних банків.</w:t>
      </w:r>
    </w:p>
    <w:p w:rsidR="00E244E2" w:rsidRPr="003B2634" w:rsidRDefault="00E244E2" w:rsidP="003B2634">
      <w:pPr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3B2634">
        <w:rPr>
          <w:sz w:val="28"/>
          <w:lang w:val="uk-UA"/>
        </w:rPr>
        <w:t>Найбільш "вузька" грошова маса визначається в Швейцарії. Первісно Швейцарський національний банк обрав в якості офіційного цільового орієнтира грошовий агрегат МІ, але з 1981 р. перейшов на використання нового цільового грошового агрегату – "Коригування грошей центрального банку (КГЦБ)", який являє собою середньомісячну величину, розраховану на основі щоденних показників грошової бази, з поправкою на "транзитні коливання в банківських залишках". Агрегат знаходиться під суворим контролем Швейцарського національного банку і "очищується" від випадкових змін, які виникають в результаті внесення поправок банками в свої баланси.</w:t>
      </w:r>
    </w:p>
    <w:p w:rsidR="00E244E2" w:rsidRPr="003B2634" w:rsidRDefault="00E244E2" w:rsidP="003B2634">
      <w:pPr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3B2634">
        <w:rPr>
          <w:sz w:val="28"/>
          <w:lang w:val="uk-UA"/>
        </w:rPr>
        <w:t>В США тривалий час в якості цільового орієнтира використовувався грошовий агрегат МІ, який, на думку Ради управління Федеральної Резервної Системи (ФРС), найбільш детально характеризував розміри грошової маси. В 1979 р. ФРС перейшла до встановлення цільового орієнтира також для М2 і МЗ, а в 90-ті роки повністю відмовилась від таргетування МІ.</w:t>
      </w:r>
    </w:p>
    <w:p w:rsidR="00E244E2" w:rsidRPr="003B2634" w:rsidRDefault="00E244E2" w:rsidP="003B2634">
      <w:pPr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3B2634">
        <w:rPr>
          <w:sz w:val="28"/>
          <w:lang w:val="uk-UA"/>
        </w:rPr>
        <w:t>Необхідність використання того чи іншого методу регулювання кількості грошей в обігу не підлягає сумніву у всіх країнах світу і в провідних міжнародних кредитно-фінансових організаціях. Разом з тим результати встановлення цільових орієнтирів на приріст грошової маси оцінюються неоднозначне, оскільки бажаної чіткої кореляції між грошовим регулюванням і загальними результатами розвитку економіки не прослідковується. Таким чином, провідні розвинуті країни мають намір і в подальшому звертатися до грошового таргетування.</w:t>
      </w:r>
    </w:p>
    <w:p w:rsidR="00E244E2" w:rsidRPr="003B2634" w:rsidRDefault="00E244E2" w:rsidP="003B2634">
      <w:pPr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3B2634">
        <w:rPr>
          <w:sz w:val="28"/>
          <w:lang w:val="uk-UA"/>
        </w:rPr>
        <w:t>В Україні структура грошової маси визначається Національним банком України агрегатним методом з 1993 року. Завдяки проведеним заходам фінансової стабілізації у структурі грошової маси відбувся різкий зсув на користь коштів з коротким строком обігу. Заощадження в гривнях у банках неухильно втягуються в поточний грошовий оборот і втрачають властивості інвестицій. Такі ж наслідки має розширення ринку державних цінних паперів.</w:t>
      </w:r>
    </w:p>
    <w:p w:rsidR="00E244E2" w:rsidRPr="003B2634" w:rsidRDefault="00E244E2" w:rsidP="003B2634">
      <w:pPr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3B2634">
        <w:rPr>
          <w:sz w:val="28"/>
          <w:lang w:val="uk-UA"/>
        </w:rPr>
        <w:t xml:space="preserve">Здійснюючи монетарну політику, НБУ встановлює цільові орієнтири щодо регулювання грошової маси в обігу на основі вибору певних грошових агрегатів. Комерційні банки працюють в межах тієї грошової маси, яка визначається Національним банком. Сьогодні пошук нових конкретних механізмів регулювання грошової маси в обігу є надзвичайно актуальним в Україні. Старі монетарні інструменти (касовий і кредитний плани) не придатні для ринкових умов. Виходячи з того, що національна грошова система України має перехідний характер та перебуває у стадії становлення, система управління сукупним грошовим оборотом має відповідати міжнародним стандартам і вимогам, сприяти стабілізації національної грошової одиниці – української гривні. </w:t>
      </w:r>
      <w:bookmarkStart w:id="0" w:name="_GoBack"/>
      <w:bookmarkEnd w:id="0"/>
    </w:p>
    <w:sectPr w:rsidR="00E244E2" w:rsidRPr="003B2634" w:rsidSect="003B263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4E2"/>
    <w:rsid w:val="002B7BCF"/>
    <w:rsid w:val="00313F7A"/>
    <w:rsid w:val="003B2634"/>
    <w:rsid w:val="00A10F70"/>
    <w:rsid w:val="00CE2921"/>
    <w:rsid w:val="00E244E2"/>
    <w:rsid w:val="00ED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2651D51-CCB5-42F0-A789-FD76EF87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2129</Words>
  <Characters>12137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Грошова маса та її показники</vt:lpstr>
    </vt:vector>
  </TitlesOfParts>
  <Company>Home</Company>
  <LinksUpToDate>false</LinksUpToDate>
  <CharactersWithSpaces>14238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Грошова маса та її показники</dc:title>
  <dc:subject/>
  <dc:creator>Billy</dc:creator>
  <cp:keywords/>
  <dc:description/>
  <cp:lastModifiedBy>admin</cp:lastModifiedBy>
  <cp:revision>2</cp:revision>
  <dcterms:created xsi:type="dcterms:W3CDTF">2014-03-12T09:08:00Z</dcterms:created>
  <dcterms:modified xsi:type="dcterms:W3CDTF">2014-03-12T09:08:00Z</dcterms:modified>
</cp:coreProperties>
</file>