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F5" w:rsidRDefault="00362FC6" w:rsidP="00362FC6">
      <w:pPr>
        <w:numPr>
          <w:ilvl w:val="0"/>
          <w:numId w:val="2"/>
        </w:numPr>
        <w:spacing w:line="288" w:lineRule="auto"/>
        <w:rPr>
          <w:sz w:val="28"/>
        </w:rPr>
      </w:pPr>
      <w:r>
        <w:rPr>
          <w:sz w:val="28"/>
        </w:rPr>
        <w:t>Общая характеристика предприятия.</w:t>
      </w:r>
    </w:p>
    <w:p w:rsidR="006223F5" w:rsidRDefault="006223F5">
      <w:pPr>
        <w:spacing w:line="288" w:lineRule="auto"/>
        <w:rPr>
          <w:sz w:val="28"/>
        </w:rPr>
      </w:pPr>
    </w:p>
    <w:p w:rsidR="006223F5" w:rsidRDefault="00362FC6" w:rsidP="00362FC6">
      <w:pPr>
        <w:numPr>
          <w:ilvl w:val="0"/>
          <w:numId w:val="3"/>
        </w:numPr>
        <w:spacing w:line="288" w:lineRule="auto"/>
        <w:ind w:left="1134" w:hanging="567"/>
        <w:jc w:val="both"/>
        <w:rPr>
          <w:sz w:val="28"/>
        </w:rPr>
      </w:pPr>
      <w:r>
        <w:rPr>
          <w:sz w:val="28"/>
        </w:rPr>
        <w:t>Организационно-правовая форма предприятия.</w:t>
      </w:r>
    </w:p>
    <w:p w:rsidR="006223F5" w:rsidRDefault="006223F5">
      <w:pPr>
        <w:spacing w:line="288" w:lineRule="auto"/>
        <w:jc w:val="both"/>
        <w:rPr>
          <w:sz w:val="28"/>
        </w:rPr>
      </w:pPr>
    </w:p>
    <w:p w:rsidR="006223F5" w:rsidRDefault="00362FC6" w:rsidP="00362FC6">
      <w:pPr>
        <w:numPr>
          <w:ilvl w:val="12"/>
          <w:numId w:val="0"/>
        </w:num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Открытое акционерное общество «Ахтуба» является правоприемником Мобильного проектно-строительного предприятия «Астраханьпром</w:t>
      </w:r>
      <w:r>
        <w:rPr>
          <w:sz w:val="28"/>
        </w:rPr>
        <w:softHyphen/>
        <w:t>газстрой» в соответствии с Указом Президента Российской Федерации №721 от 1 июля 1992 года «Об организационных мерах по преобразованию государственных предприятий, добровольных объединений государственных предприятий в акционерные общества».</w:t>
      </w:r>
    </w:p>
    <w:p w:rsidR="006223F5" w:rsidRDefault="00362FC6" w:rsidP="00362FC6">
      <w:pPr>
        <w:numPr>
          <w:ilvl w:val="12"/>
          <w:numId w:val="0"/>
        </w:num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Общество является юридическим лицом и имеет в собственности обособленное имущество, учитываемое на его самостоятельном балансе,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6223F5" w:rsidRDefault="00362FC6" w:rsidP="00362FC6">
      <w:pPr>
        <w:numPr>
          <w:ilvl w:val="12"/>
          <w:numId w:val="0"/>
        </w:num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Общество имеет гражданские права и несёт обязанности для осуществления любых видов деятельности, не запрещенных Федеральными законами. Основными видами его деятельности, согласно лицензии, являются: общестроительные, специальные работы, а также проектные работы и выступление в роли заказчика (собственное строительство).</w:t>
      </w:r>
    </w:p>
    <w:p w:rsidR="006223F5" w:rsidRDefault="00362FC6" w:rsidP="00362FC6">
      <w:pPr>
        <w:numPr>
          <w:ilvl w:val="12"/>
          <w:numId w:val="0"/>
        </w:num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ОАО «Ахтуба» вправе в установленном порядке открывать банковские счета на территории Российской Федерации и за её пределами, имеет круглую печать, содержащую его полное фирменное наименование на русском языке и указание на место его нахождения, а также штампы и бланки со своим наименованием, собственную эмблему.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Уставный капитал Общества составляет 130206 тысяч рублей, разделённых на обыкновенные (65103 шт.) акции номинальной стоимостью 2000 рублей. Общество создаёт резервный фонд за счёт отчислений от прибыли в размере 15% уставного капитала. Средства резервного фонда предназначены исключительно на покрытие непредвиденных убытков ОАО, а также для погашения облигаций Общества и выкупа акций Общества в случае отсутствия иных средств.</w:t>
      </w:r>
    </w:p>
    <w:p w:rsidR="006223F5" w:rsidRDefault="006223F5">
      <w:pPr>
        <w:spacing w:line="288" w:lineRule="auto"/>
        <w:ind w:firstLine="709"/>
        <w:jc w:val="both"/>
        <w:rPr>
          <w:sz w:val="28"/>
        </w:rPr>
      </w:pPr>
    </w:p>
    <w:p w:rsidR="006223F5" w:rsidRDefault="00362FC6" w:rsidP="00362FC6">
      <w:pPr>
        <w:numPr>
          <w:ilvl w:val="0"/>
          <w:numId w:val="4"/>
        </w:numPr>
        <w:spacing w:line="288" w:lineRule="auto"/>
        <w:ind w:left="1134" w:hanging="567"/>
        <w:jc w:val="both"/>
        <w:rPr>
          <w:sz w:val="28"/>
        </w:rPr>
      </w:pPr>
      <w:r>
        <w:rPr>
          <w:sz w:val="28"/>
        </w:rPr>
        <w:t>Краткая история предприятия.</w:t>
      </w:r>
    </w:p>
    <w:p w:rsidR="006223F5" w:rsidRDefault="006223F5">
      <w:pPr>
        <w:spacing w:line="288" w:lineRule="auto"/>
        <w:jc w:val="both"/>
        <w:rPr>
          <w:sz w:val="28"/>
        </w:rPr>
      </w:pP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Для осуществления строительства объектов, необходимых для освоения Астраханского газоконденсатного месторождения в сентябре 1981 года были приняты предложения об организации в Астраханской области Министерством промышленного строительства СССР производственного строительно-монтажного объединения «Астраханьпромгазстрой».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Потом, стали всё чётче вырисовываться промысловые сооружения непосредственно на территории месторождения, производственные базы, временные жилые посёлки и объекты их жизнеобеспечения, сам Астраханский газоперерабатывающий завод со своими службами. Прошли годы, и наступил долгожданный момент: на исходе 1986 года первая очередь АГПЗ вступила в строй.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Объединение было переименовано в Мобильное проектно-строительное предприятие «Астраханьпромгазстрой» и на 1991 год имело 14 структурных подразделений, около 30 организаций на субподряде, 5500 работающих, 175 строящихся объектов, 1694 единицы строительной техники, механизмов и транспорта.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За эти годы предприятие построило ряд крупных объектов как промышленного, так и социального значения: вторая очередь АГПЗ, комплекс водоочистных сооружений для Астрахани на 100 кубом/сутки, многочисленные объекты жилья и соцкультбыта в г.Астрахани и п.Красный Яр, сельскохозяйственные и природоохранные объекты и многое другое.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Мобильное проектно-строительное предприятие «Астраханьпром</w:t>
      </w:r>
      <w:r>
        <w:rPr>
          <w:sz w:val="28"/>
        </w:rPr>
        <w:softHyphen/>
        <w:t>газстрой» 14 июня 1996 года было зарегистрировано как Открытое акционерное общество «Ахтуба».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Сокращение объемов строительных работ сказалось на структуре и мощности предприятия, состав которого сократился с более чем пяти тысяч работников до 175.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Мощность организации до 1-2 млн. деноминированных рублей в год на строительстве. В настоящее время ведет работы в гг.Сочи (жильё), Кисловодске (жильё), объемы в г.Астрахани. Практически обеспечивает свои бывшие подразделения строительными материалами, горюче-смазочным материалом.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Основной целью Общества является получение прибыли от деятельности структурных подразделений.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Структурно имеет в своем составе (кроме аппарата):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</w:rPr>
        <w:t>учебно-курсовой комбинат для обучения рабочих кадров;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</w:rPr>
        <w:t>базу снабжения;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</w:rPr>
        <w:t>лесозаготовительный участок в с.Парфеньево Костромской области;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</w:rPr>
        <w:t>участок строительства в г.Кисловодске;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</w:rPr>
        <w:t>трест-площадку «Промстрой-6» в г.Сочи;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</w:rPr>
        <w:t>трест-площадку «Спецмонтаж» — дочернее предприятие, на правах юридического лица;</w:t>
      </w:r>
    </w:p>
    <w:p w:rsidR="006223F5" w:rsidRDefault="00362FC6">
      <w:pPr>
        <w:spacing w:line="288" w:lineRule="auto"/>
        <w:ind w:firstLine="851"/>
        <w:rPr>
          <w:sz w:val="28"/>
        </w:rPr>
      </w:pPr>
      <w:r>
        <w:rPr>
          <w:sz w:val="28"/>
        </w:rPr>
        <w:t>Численный состав по состоянию на 01.07.98г. — 175 человек, в том числе 30% ИТР.</w:t>
      </w:r>
    </w:p>
    <w:p w:rsidR="006223F5" w:rsidRDefault="00362FC6" w:rsidP="00362FC6">
      <w:pPr>
        <w:numPr>
          <w:ilvl w:val="0"/>
          <w:numId w:val="6"/>
        </w:numPr>
        <w:spacing w:line="288" w:lineRule="auto"/>
        <w:rPr>
          <w:sz w:val="28"/>
        </w:rPr>
      </w:pPr>
      <w:r>
        <w:rPr>
          <w:sz w:val="28"/>
        </w:rPr>
        <w:br w:type="page"/>
        <w:t>Структура управления.</w:t>
      </w:r>
    </w:p>
    <w:p w:rsidR="006223F5" w:rsidRDefault="006223F5">
      <w:pPr>
        <w:spacing w:line="288" w:lineRule="auto"/>
        <w:rPr>
          <w:sz w:val="28"/>
        </w:rPr>
      </w:pPr>
    </w:p>
    <w:p w:rsidR="006223F5" w:rsidRDefault="00362FC6" w:rsidP="00362FC6">
      <w:pPr>
        <w:numPr>
          <w:ilvl w:val="0"/>
          <w:numId w:val="7"/>
        </w:numPr>
        <w:spacing w:line="288" w:lineRule="auto"/>
        <w:ind w:left="1134" w:hanging="567"/>
        <w:rPr>
          <w:sz w:val="28"/>
        </w:rPr>
      </w:pPr>
      <w:r>
        <w:rPr>
          <w:sz w:val="28"/>
        </w:rPr>
        <w:t>Структура управления.</w:t>
      </w:r>
    </w:p>
    <w:p w:rsidR="006223F5" w:rsidRDefault="006223F5">
      <w:pPr>
        <w:spacing w:line="288" w:lineRule="auto"/>
        <w:rPr>
          <w:sz w:val="28"/>
        </w:rPr>
      </w:pPr>
    </w:p>
    <w:p w:rsidR="006223F5" w:rsidRDefault="00362FC6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Управление предприятием осуществляется в соответствии с законодательством РФ и Уставом предприятия.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Органами управления Общества являются: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</w:rPr>
        <w:t>общее собрание акционеров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</w:rPr>
        <w:t>Совет директоров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</w:rPr>
        <w:t>генеральный директор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</w:rPr>
        <w:t>ликвидационная комиссия.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Высшим органом управления Общества является общее собрание акционеров. Один раз в год Общество проводит годовое общее собрание акционеров. Оно проводится не ранее чем через два месяца и не позднее шести месяцев после окончания финансового года Общества. Собрание обладает очень большими правами и полномочиями: уменьшение или увеличение уставного капитала, реорганизация или ликвидация Общества, изменение его устава и т.д.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Совет директоров Общества, состоящий из девяти человек, осуществляет общее руководство деятельностью Общества (приоритетные направления деятельности; вопросы созыва и управления ходом общего собрания акционеров; решения, связанные с акциями ОАО и т.д.), за исключением решения вопросов, отнесенных Федеральным Законом «Об акционерных обществах» к исключительной компетенции общего собрания акционеров. Члены Совета директоров Общества избираются годовым общим собранием акционеров сроком на один год и могут переизбираться неограниченное число раз.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Высшим должностным лицом предприятия является генеральный директор, с которым заключается контракт сроком от 1 года до 5 лет. Генеральный директор назначается общим собранием акционеров. Лицо, осуществляющее функции генерального директора, не может быть одновременно председателем Совета директоров Общества. К его компетенции относятся все вопросы руководства текущей деятельности Общества и организация выполнения решений общего собрания акционеров и Совета директоров.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Члены Совета директоров и генеральный директор несут ответственность перед Обществом за убытки причиненные ему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Ликвидационная комиссия избирается на общем собрании акционеров в случае добровольной ликвидации Общества, и к ней переходят все полномочия по управлению делами Общества. Она помещает в органах печати сообщение о ликвидации Общества, порядке и сроках для предъявления требований его кредиторами (требования принимаются 2 месяца со дня опубликования сообщения о ликвидации Общества). Ей принимаются меры к выявлению кредиторов и получению дебиторской задолженности. После завершения расчетов с кредиторами и акционерами ликвидация Общества считается завершенной, а Общество прекратившем существование с момента вынесения органом государственной регистрации соответствующей записи в единый государственный реестр юридических лиц.</w:t>
      </w:r>
    </w:p>
    <w:p w:rsidR="006223F5" w:rsidRDefault="006223F5">
      <w:pPr>
        <w:spacing w:line="288" w:lineRule="auto"/>
        <w:ind w:firstLine="851"/>
        <w:jc w:val="both"/>
        <w:rPr>
          <w:sz w:val="28"/>
        </w:rPr>
      </w:pPr>
    </w:p>
    <w:p w:rsidR="006223F5" w:rsidRDefault="00362FC6" w:rsidP="00362FC6">
      <w:pPr>
        <w:numPr>
          <w:ilvl w:val="0"/>
          <w:numId w:val="8"/>
        </w:numPr>
        <w:spacing w:line="288" w:lineRule="auto"/>
        <w:ind w:left="1134" w:hanging="567"/>
        <w:rPr>
          <w:sz w:val="28"/>
        </w:rPr>
      </w:pPr>
      <w:r>
        <w:rPr>
          <w:sz w:val="28"/>
        </w:rPr>
        <w:t>Перечень отделов, взаимосвязь и взаимоотношения между ними.</w:t>
      </w:r>
    </w:p>
    <w:p w:rsidR="006223F5" w:rsidRDefault="006223F5">
      <w:pPr>
        <w:spacing w:line="288" w:lineRule="auto"/>
        <w:ind w:firstLine="851"/>
        <w:jc w:val="both"/>
        <w:rPr>
          <w:sz w:val="28"/>
        </w:rPr>
      </w:pP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Высшим должностным лицом предприятия является генеральный директор, у которого имеется три заместителя: заместитель по производственным вопросам (главный инженер), заместитель по снабжению, заместитель по продаже неликвидного имущества. В ОАО «Ахтуба» существуют следующие отделы управления: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ind w:hanging="284"/>
        <w:jc w:val="both"/>
        <w:rPr>
          <w:sz w:val="28"/>
        </w:rPr>
      </w:pPr>
      <w:r>
        <w:rPr>
          <w:sz w:val="28"/>
        </w:rPr>
        <w:t>Энергослужба;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ind w:hanging="284"/>
        <w:jc w:val="both"/>
        <w:rPr>
          <w:sz w:val="28"/>
        </w:rPr>
      </w:pPr>
      <w:r>
        <w:rPr>
          <w:sz w:val="28"/>
        </w:rPr>
        <w:t>Отдел техники безопасности (ОТБ);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ind w:hanging="284"/>
        <w:jc w:val="both"/>
        <w:rPr>
          <w:sz w:val="28"/>
        </w:rPr>
      </w:pPr>
      <w:r>
        <w:rPr>
          <w:sz w:val="28"/>
        </w:rPr>
        <w:t>Отдел кадров;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ind w:hanging="284"/>
        <w:jc w:val="both"/>
        <w:rPr>
          <w:sz w:val="28"/>
        </w:rPr>
      </w:pPr>
      <w:r>
        <w:rPr>
          <w:sz w:val="28"/>
        </w:rPr>
        <w:t>Отдел капитального строительства (ОКС);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ind w:hanging="284"/>
        <w:jc w:val="both"/>
        <w:rPr>
          <w:sz w:val="28"/>
        </w:rPr>
      </w:pPr>
      <w:r>
        <w:rPr>
          <w:sz w:val="28"/>
        </w:rPr>
        <w:t>Центр инженерно-производственной подготовки (ЦИП);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ind w:hanging="284"/>
        <w:jc w:val="both"/>
        <w:rPr>
          <w:sz w:val="28"/>
        </w:rPr>
      </w:pPr>
      <w:r>
        <w:rPr>
          <w:sz w:val="28"/>
        </w:rPr>
        <w:t>Сметный отдел;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ind w:hanging="284"/>
        <w:jc w:val="both"/>
        <w:rPr>
          <w:sz w:val="28"/>
        </w:rPr>
      </w:pPr>
      <w:r>
        <w:rPr>
          <w:sz w:val="28"/>
        </w:rPr>
        <w:t>Отдел конструкторского проектирования (ОКП);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ind w:hanging="284"/>
        <w:jc w:val="both"/>
        <w:rPr>
          <w:sz w:val="28"/>
        </w:rPr>
      </w:pPr>
      <w:r>
        <w:rPr>
          <w:sz w:val="28"/>
        </w:rPr>
        <w:t>Отдел материально-технического снабжения (ОМТС);</w:t>
      </w:r>
    </w:p>
    <w:p w:rsidR="006223F5" w:rsidRDefault="00362FC6" w:rsidP="00362FC6">
      <w:pPr>
        <w:numPr>
          <w:ilvl w:val="0"/>
          <w:numId w:val="5"/>
        </w:numPr>
        <w:spacing w:line="288" w:lineRule="auto"/>
        <w:ind w:hanging="284"/>
        <w:jc w:val="both"/>
        <w:rPr>
          <w:sz w:val="28"/>
        </w:rPr>
      </w:pPr>
      <w:r>
        <w:rPr>
          <w:sz w:val="28"/>
        </w:rPr>
        <w:t>Бухгалтерия.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Энергослужба ОАО занимается обслуживанием, наладкой и демонтажем высоковольтных линий, трансформаторных подстанций, распределительных устройств. Всё оборудование рассчитано на напряжение 10 кВ. Она осуществляет техническое и методическое руководство, в лице главного энергетика и заместителя главного энергетика, электромонтёрами и мастерами (проверка и ремонт оборудования), сантехниками (горячее водоснабжение, техническая и питьевая вода, стоки), диспетчерами (постоянный контроль за действующими линиями). Энергослужба составляет графики планово-предупредительного ремонта оборудования и сооружений, титульные списки для проведения капитального ремонта, и представляет их на утверждение заместителю по производственным вопросам. Она осуществляет выполнение правил техники безопасности при эксплуатации всех видов энергетического оборудования, санитарных норм для водоснабжения и канализации, проведение учета и анализа аварийных остановок электрооборудования и коммуникаций по предприятию.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Отдел техники безопасности контролирует выполнение энергослужбой правил электробезопасности.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Отдел кадров занимается приемом, отправлением в отпуск (коман</w:t>
      </w:r>
      <w:r>
        <w:rPr>
          <w:sz w:val="28"/>
        </w:rPr>
        <w:softHyphen/>
        <w:t>дировку), увольнением работников и напрямую связан с бухгалтерией.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Отдел капитального строительства не функционирует из-за отсутствия заказов на крупномасштабное промышленное и гражданское строительство.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Центр инженерно-производственной подготовки разрабатывает перспективные и текущие планы совместно с другими отделами в соответствии с утвержденными формами и методическими указаниями, доводит утвержденные планы до отделов. Вместе со сметным отделом проводят комплексный технико-экономический анализ деятельности ОАО «Ахтуба».Они подготавливают необходимые расчеты и смежные калькуляции. Проводят экономический анализ и оперативный статический учет Общества. Рассчитывают (проверяют) представленные другими предприятиями проекты и сметы.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Отдел конструкторского проектирования разрабатывает проекты по заказу предприятий и частных лиц. Отдел состоит из главного архитектора, главного инженера проекта, проектировщиков и сметчицы.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Отдел материально-технического снабжения следит за использованием продукции и остатков сырья, оставшихся на складах. Включает в себя начальника ОМТС, которому подчиняются начальники групп металлов, ГСМ, стройматериалов. Склады охраняются 4 постами охраны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br w:type="page"/>
        <w:t>Как видно из схемы №1 все технические отделы связаны с заместителем по производственной части (главный инженером). Генеральному директору подчиняется отдел кадров и главный бухгалтер Общества.</w:t>
      </w:r>
    </w:p>
    <w:p w:rsidR="006223F5" w:rsidRDefault="006223F5">
      <w:pPr>
        <w:spacing w:line="288" w:lineRule="auto"/>
        <w:ind w:firstLine="851"/>
        <w:jc w:val="both"/>
        <w:rPr>
          <w:sz w:val="28"/>
        </w:rPr>
      </w:pPr>
    </w:p>
    <w:p w:rsidR="006223F5" w:rsidRDefault="00362FC6" w:rsidP="00362FC6">
      <w:pPr>
        <w:numPr>
          <w:ilvl w:val="0"/>
          <w:numId w:val="9"/>
        </w:numPr>
        <w:ind w:left="1134" w:hanging="567"/>
        <w:jc w:val="both"/>
        <w:rPr>
          <w:sz w:val="28"/>
        </w:rPr>
      </w:pPr>
      <w:r>
        <w:rPr>
          <w:sz w:val="28"/>
        </w:rPr>
        <w:t>Структура бухгалтерии и её функции.</w:t>
      </w:r>
    </w:p>
    <w:p w:rsidR="006223F5" w:rsidRDefault="006223F5">
      <w:pPr>
        <w:ind w:firstLine="851"/>
        <w:jc w:val="both"/>
        <w:rPr>
          <w:sz w:val="28"/>
        </w:rPr>
      </w:pP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Бухгалтерский учёт ведётся бухгалтерией.. Бухгалтерия обеспечивает правильную постановку и достоверность учёта, контроль за сохранностью собственности, правильное расходование денежных средств и материальных ценностей.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Бухгалтерия возглавляется главным бухгалтером. Главный бухгалтер подчиняется административно непосредственно генеральному директору предприятия. Непосредственно главному бухгалтеру подчиняются старший бухгалтер, бухгалтер расчётной части, бухгалтер материальной части и бухгалтер-кассир.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Ответственность за ведение бухгалтерского учёта несёт главный бухгалтер. Главный бухгалтер подписывает совместно с руководителем документы, служащие основанием для приёмки и выдачи товарно-материаль</w:t>
      </w:r>
      <w:r>
        <w:rPr>
          <w:sz w:val="28"/>
        </w:rPr>
        <w:softHyphen/>
        <w:t>ных ценностей и денежных средств. Главному бухгалтеру запрещается принимать к исполнению и оформлению документы по операциям, противоречащим законодательству и нарушающим договорную дисциплину.</w:t>
      </w:r>
    </w:p>
    <w:p w:rsidR="006223F5" w:rsidRDefault="006223F5">
      <w:pPr>
        <w:spacing w:line="288" w:lineRule="auto"/>
        <w:ind w:firstLine="851"/>
        <w:jc w:val="both"/>
        <w:rPr>
          <w:sz w:val="28"/>
        </w:rPr>
      </w:pPr>
    </w:p>
    <w:p w:rsidR="006223F5" w:rsidRDefault="00362FC6">
      <w:pPr>
        <w:ind w:firstLine="709"/>
        <w:jc w:val="center"/>
        <w:rPr>
          <w:sz w:val="28"/>
        </w:rPr>
      </w:pPr>
      <w:r>
        <w:rPr>
          <w:sz w:val="28"/>
        </w:rPr>
        <w:t>Основные функции бухгалтерии.</w:t>
      </w:r>
    </w:p>
    <w:p w:rsidR="006223F5" w:rsidRDefault="006223F5">
      <w:pPr>
        <w:ind w:firstLine="709"/>
        <w:jc w:val="center"/>
        <w:rPr>
          <w:sz w:val="28"/>
        </w:rPr>
      </w:pP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Обеспечение правильной организации бухгалтерского учёта и отчётности на предприятии на основе установленных правил ведения учёта и составления отчётности.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Рациональная организация бухгалтерского учёта на основе максимальной централизации, отвечающего требованиям оперативного руководства финансово-хозяйственной деятельностью предприятия.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Полный учёт поступающих денежных средств, товарно-матери</w:t>
      </w:r>
      <w:r>
        <w:rPr>
          <w:sz w:val="28"/>
        </w:rPr>
        <w:softHyphen/>
        <w:t>альных ценностей и основных средств, а также своевременное отражение в бухгалтерском учёте операций, связанных с их движением.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Достоверный учёт издержек производства и обращения, исполнение смет расходов, реализации продукции, выполнения строительно-монтажных работ и других работ, составление экономически обоснованных отчётных калькуляций себестоимости, работ и услуг.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Своевременный и точный учёт финансово-хозяйственной деятельности предприятия в соответствии с установленными правилами.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Осуществление всех финансовых, кредитных и расчётных операций, а также своевременную выверку всех расчётов предприятия с банками и другими организациями и предприятиями.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Правильное и своевременное начисление и перечисление в государственный бюджет налогов, взносов.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Своевременное проведение  совместно с другими подразделениями и службами в производственных единицах завода проверок и документальных ревизий и подготовка предложений по улучшению их работы.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Выдача справок работникам предприятия.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Начисление всех видов затрат, расчётов с работниками предприятия и сторонними организациями по затратам.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Расчёт в установленном порядке с организациями и лицами.</w:t>
      </w:r>
    </w:p>
    <w:p w:rsidR="006223F5" w:rsidRDefault="00362FC6" w:rsidP="00362FC6">
      <w:pPr>
        <w:numPr>
          <w:ilvl w:val="0"/>
          <w:numId w:val="10"/>
        </w:numPr>
        <w:ind w:left="283" w:firstLine="709"/>
        <w:jc w:val="both"/>
        <w:rPr>
          <w:sz w:val="28"/>
        </w:rPr>
      </w:pPr>
      <w:r>
        <w:rPr>
          <w:sz w:val="28"/>
        </w:rPr>
        <w:t>Хранение бухгалтерского архива в установленном порядке и сохранность бухгалтерских документов.</w:t>
      </w:r>
    </w:p>
    <w:p w:rsidR="006223F5" w:rsidRDefault="00362FC6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Внедрение передовых форм и методов бухгалтерского учёта.</w:t>
      </w:r>
    </w:p>
    <w:p w:rsidR="006223F5" w:rsidRDefault="00362FC6" w:rsidP="00362FC6">
      <w:pPr>
        <w:numPr>
          <w:ilvl w:val="0"/>
          <w:numId w:val="11"/>
        </w:numPr>
        <w:spacing w:line="288" w:lineRule="auto"/>
        <w:jc w:val="both"/>
        <w:rPr>
          <w:sz w:val="28"/>
        </w:rPr>
      </w:pPr>
      <w:r>
        <w:rPr>
          <w:sz w:val="28"/>
        </w:rPr>
        <w:br w:type="page"/>
        <w:t>Состояние учёта и отчётности.</w:t>
      </w:r>
    </w:p>
    <w:p w:rsidR="006223F5" w:rsidRDefault="006223F5">
      <w:pPr>
        <w:spacing w:line="288" w:lineRule="auto"/>
        <w:ind w:firstLine="851"/>
        <w:jc w:val="both"/>
        <w:rPr>
          <w:sz w:val="28"/>
        </w:rPr>
      </w:pPr>
    </w:p>
    <w:p w:rsidR="006223F5" w:rsidRDefault="00362FC6" w:rsidP="00362FC6">
      <w:pPr>
        <w:numPr>
          <w:ilvl w:val="0"/>
          <w:numId w:val="12"/>
        </w:numPr>
        <w:spacing w:line="288" w:lineRule="auto"/>
        <w:ind w:left="1134" w:hanging="567"/>
        <w:rPr>
          <w:sz w:val="28"/>
        </w:rPr>
      </w:pPr>
      <w:r>
        <w:rPr>
          <w:sz w:val="28"/>
        </w:rPr>
        <w:t>Форма бухгалтерского учёта, применяемая на предприятии.</w:t>
      </w:r>
    </w:p>
    <w:p w:rsidR="006223F5" w:rsidRDefault="006223F5">
      <w:pPr>
        <w:ind w:firstLine="851"/>
        <w:jc w:val="both"/>
        <w:rPr>
          <w:sz w:val="28"/>
        </w:rPr>
      </w:pP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Под формой бухгалтерского учёта понимается номенклатура учётных регистров и технология их заполнения на основании первичных документов. Форма выбирается предприятием самостоятельно при условии соблюдения единых методологических принципов, установленных «Положением о бухгалтерском учёте и отчётности в РФ» и другими нормативными документами. Закон предоставляет широкие полномочия руководителям в организации бухгалтерского учёта, позволяющие играть им активную роль на всех этапах осуществления учёта: от выбора форм организации бухгалтерского учёта в зависимости от объёма учётной работы (учредить самостоятельную бухгалтерскую службу, ввести в штат должность бухгалтера, передать ведение бухгалтерского учёта на договорных началах другой организации или вести  учёт лично ) до представления бухгалтерской отчётности её пользователям и реализации соответствующего хранения бухгалтерской документации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 xml:space="preserve">ОАО «Ахтуба» применяет журнально-ордерную форму с использованием двух видов бухгалтерских регистров — журналов-ордеров и вспомогательных ведомостей. Эта форма удобна при больших объемах хозяйственной деятельности, когда бухгалтерских работников несколько и их деятельность не автоматизирована. 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Журнально-ордерная форма основана на использовании шахматного принцип регистрации операций и их накапливании за каждый отчётный месяц. Шахматная форма записи означает, что за один рабочий приём сумма хозяйственной операции фиксируется по дебиту и кредит корреспондирующих счетов, то есть реализуется способ двойной записи. Это возможно потому, что все журналы ордера построены по кредитовому признаку, в корреспонденции с заранее установленными дебетуемыми счетами. Название журнал-ордер свидетельствует о двух качествах регистра: об использовании для хронологической(журнал) и систематической (ордер) записи. Разработаны журналы-ордера и на отдельный счёт, и на группу взаимосвязанных между собой счетов. В дополнение к некоторым из них, чаще для аналитического учёта, ведутся вспомогательные ведомости (для расчётов с дебиторами и кредиторами, для учёта производственных затрат и др.)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Кроме журналов-ордеров и ведомостей ведётся Главная книга — регистр синтетического учёта. В ней по каждому счёту отводится развёрнутый лист для записи остатка на начало и конец месяца, оборота по дебиту в развёрнутом виде, то есть в корреспонденции с кредитуемыми счетами и общей суммы оборота по кредиту. Главная книга открывается на год, а каждому месяцу отводится одна строка. На основании Главной книги и части других регистров заполняется баланс и другие формы отчётности.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На ОАО «Ахтуба» ведутся следующие журналы-ордера: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№1 «Касса»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№2 «Расчётный счёт»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№4 «Кредиты банков и займы»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№6 «Расчёты с поставщиками и подрядчиками»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№7 «Расчеты с подотчётными лицами»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№8 «Учёт финансовых вложений».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Кроме того используют две ведомости: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№10 «Ведомость учёта материалов на складах»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№16 «Ведомость учёта реализации (работ, услуг)».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Для учета кассовых операций, отражаемых на счете № 50 "Касса", предназначен: на промышленных предприятиях журнал-ордер № 1. Прием и выдача денежных средств, оформление приходных и расходных документов, ведение кассовой книги, составление отчета о кассовых операциях осуществляются в порядке, установленном "Положением о ведении кассовых операций предприятиями, учреждениями и организациями". Записи в этих журналах-ордерах и в ведомостях производятся итогами за день на основании отчетов кассира, подтвержденных приложенными к ним документами. Остаток средств в кассе приводится в ведомости только на начало и конец месяца. На протяжении месяца, для контроля и оперативных целей, используются данные об остатках средств, показанные в отчетах кассира.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Для учета операций, отражаемых на счете № 51 "Расчетный счет" предназначен на промышленных предприятиях журнал-ордер № 2. Записи в журналах-ордерах и в ведомостях производятся на основании выписок банка по расчетному счету и приложенных к ним документов. В журнале-ордере и в ведомости записи делаются по корреспондирующим счетам итогами по одной или нескольким выпискам банка. Корреспонденция счетов указывается как в банковских выписках, так и на документах. Остаток средств на расчетном счете в банке приводится в ведомости только на начало и конец месяца. На протяжении месяца, для оперативных целей, используются данные об остатках средств, показанные в выписках банка.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Учет операций, отражаемых на счетах № 90 "Краткосрочные ссуды банков" и № 92 "Долгосрочные кредиты банков", осуществляется в журнале-ордере № 4. В нём находят отражение кредитовые обороты по счетам № 90 и № 92 в разрезе корреспондирующих счетов, а на последней его странице — аналитические данные по указанным ссудам и кредитам. В журнале-ордере № 4 аналитический учет ссуд и кредитов ограничивается лишь отражением сальдо на конец месяца раздельно по каждому виду ссуд или кредитов банка. Записи кредитовых оборотов в журнале-ордере № 4 по счетам №№ 90 и 92, сальдо на конец месяца по ссудам и кредитам в аналитическом разрезе, производятся на основании выписок банка. При этом суммы по корреспондирующим счетам показываются по выписке в целом.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Для учета расчетов с поставщиками и подрядчиками применяется на промышленных предприятиях журнал-ордер № 6.Записи в журнал-ордер № 6 производится на основании счетов-фактур за произведенные подрядчиками работы и за оказанные услуги по мере приемки указанных работ и услуг. Порядок отражения необходимых данных по указанным счетам-фактурам в регистрах аналогичен порядку, изложенному в пояснениях о записях по счетам-фактурам на поступившие товарно-материальные ценности. Причитающиеся подрядчикам и поставщикам суммы показываются в корреспонденции с дебетом счетов, на которых должны быть учтены соответствующие затраты; суммы зачетов или претензий, возникших после акцепта счетов-фактур, приводятся в обособленных графах, в корреспонденции с дебетом счетов, где отражаются эти расчеты (счета № 61, 76 и т.п.). Наряду с данными о суммах, причитающихся за отгруженные товарно-материальные ценности, принятые работы и услуги, в журналах-ордерах № 6 отмечаются дата и суммы оплаты и списаний по каждому счету-фактуре отдельно. Оплата с расчетного счета и в порядке зачета взаимных требований выделяется в специальных графах; оплата из кассы и разного рода списания приводятся в графах "с прочих счетов" с указанием корреспондирующего счета.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Для учета расчетов с подотчетными лицами, отражаемых на счете № 71, предназначен журнал-ордер № 7. В этом журнале-ордере синтетический и аналитический учет расчетов с подотчетными лицами обеспечиваются в единой системе записей. Аналитический учет ведется по отдельно выданным в подотчет суммам и осуществляется позиционным способом. Для получения синтетических данных по счету № 71 "Расчеты с подотчетными лицами" суммы расхода по авансовым отчетам и возврат неиспользованного аванса показываются в журнале-ордере в корреспонденции с дебетуемыми счетами. Одновременно приводится справка о суммах расхода на оплату суточных и подъемных, требующаяся при заполнении соответствующей формы бухгалтерской отчетности.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В журнале-ордере № 8 обороты по кредиту счетов № 61 "Расчеты по авансам и частичной оплате заказов" и № 76 "Расчеты с разными дебиторами и кредиторами" приводятся по данным реестра депонированной заработной платы. Таким образом, в этой части расчетов журнал-ордер обобщает показатели, выявившиеся в регистрах аналитического учета. Следовательно, аналитический учет расчетов по авансам и частичной оплате заказов, а равно с разными дебиторами и кредиторами должен предшествовать синтетическому. Обороты по кредиту счетов № 73 "Расчеты с бюджетом" и № 77 "Внутриведомственные расчеты" фиксируются по данным соответствующих первичных бухгалтерских документов. Аналитические данные по этим счетам приводятся как и в большинстве журналов-ордеров частично на основании показателей тех же документов.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Ведомость № 10 предназначена для учета движения материальных ценностей на промышленном предприятии. В ней находят отражение движение и остатки материальных ценностей по местам их нахождения (хра</w:t>
      </w:r>
      <w:r>
        <w:rPr>
          <w:sz w:val="28"/>
        </w:rPr>
        <w:softHyphen/>
        <w:t>нения) в оценке по плановой себестоимости или оптовым ценам. Одновременно в ведомости показывается фактическая себестоимость поступивших и выбывших материальных ценностей и выявляются отклонения фактической себестоимости приобретенных материальных ценностей от их плановой себестоимости (плановым ценам) или транспортно-заготовительные расходы при учете по оптовым ценам. В этой ведомости поступление и выбытие материальных ценностей находит отражение на основе предусмотренных при оперативно-бухгалтерском методе учета материалов накопительных ведомостей синтетического учета (форма № М-43).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Ведомость № 16 и предназначена для накапливания и группировки в необходимых разрезах данных счетов-фактур или других расчетных документов на отгруженные (отпущенные) продукцию и материальные ценности. В ведомости № 16, наряду с суммами по счетам-фактурам или заменяющим их документам записываются и количественные данные этих изделий по их наименованиям. Эта ведомость применяется, в частности, на предприятиях, где номенклатура готовых изделий не превышает 70 - 80 наименований.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Контроль и ревизия финансовой деятельности осуществляется налоговой инспекцией и нанимаемым по Уставу ОАО «Ахтуба» аудитором.</w:t>
      </w:r>
    </w:p>
    <w:p w:rsidR="006223F5" w:rsidRDefault="006223F5">
      <w:pPr>
        <w:ind w:firstLine="851"/>
        <w:jc w:val="both"/>
        <w:rPr>
          <w:sz w:val="28"/>
        </w:rPr>
      </w:pPr>
    </w:p>
    <w:p w:rsidR="006223F5" w:rsidRDefault="00362FC6" w:rsidP="00362FC6">
      <w:pPr>
        <w:numPr>
          <w:ilvl w:val="0"/>
          <w:numId w:val="13"/>
        </w:numPr>
        <w:ind w:left="1134" w:hanging="567"/>
        <w:rPr>
          <w:sz w:val="28"/>
        </w:rPr>
      </w:pPr>
      <w:r>
        <w:rPr>
          <w:sz w:val="28"/>
        </w:rPr>
        <w:t>Используемые первичные документы.</w:t>
      </w:r>
    </w:p>
    <w:p w:rsidR="006223F5" w:rsidRDefault="006223F5">
      <w:pPr>
        <w:ind w:firstLine="709"/>
        <w:jc w:val="both"/>
        <w:rPr>
          <w:sz w:val="28"/>
        </w:rPr>
      </w:pPr>
    </w:p>
    <w:p w:rsidR="006223F5" w:rsidRDefault="00362FC6">
      <w:pPr>
        <w:ind w:firstLine="709"/>
        <w:jc w:val="both"/>
        <w:rPr>
          <w:sz w:val="28"/>
        </w:rPr>
      </w:pPr>
      <w:r>
        <w:rPr>
          <w:sz w:val="28"/>
        </w:rPr>
        <w:t>Первичный бухгалтерский документ — это письменное свидетельство о совершении хозяйственной операции, имеющие юридическую силу и не требующие дальнейших  пояснений и детализации. Каждый первичный документ отражает одну совершённую хозяйственную операцию. Множество различных первичных документов образуют основание бухгалтерской «пирамиды», которая в конечном счёте сводится к балансу всей деятельности предприятия.</w:t>
      </w:r>
    </w:p>
    <w:p w:rsidR="006223F5" w:rsidRDefault="00362FC6">
      <w:pPr>
        <w:ind w:firstLine="709"/>
        <w:jc w:val="both"/>
        <w:rPr>
          <w:sz w:val="28"/>
        </w:rPr>
      </w:pPr>
      <w:r>
        <w:rPr>
          <w:sz w:val="28"/>
        </w:rPr>
        <w:t>При оформлении кассовых операций используются следующие первичные документы: приходные кассовые документы (ордера) — форма №КО-1, расходные кассовые ордера — форма №КО-2,журнальная регистрация приходных и расходных кассовых ордеров — формы №КО-3 и №КО-3а, кассовая книга — форма №КО-4. Приём наличных денег в кассу ведётся по приходным кассовым ордерам, а выдача — по расходным кассовым ордерам. К ним прилагаются документы, на основе которых получены или выданы деньги. Лицу, сдающему деньги, выдаётся отрывная квитанция, являющаяся частью приходного кассового ордера. Ведётся раздельная нумерация приходных и расходных кассовых ордеров. Ведётся оформление платёжных поручений.</w:t>
      </w:r>
    </w:p>
    <w:p w:rsidR="006223F5" w:rsidRDefault="00362FC6">
      <w:pPr>
        <w:ind w:firstLine="709"/>
        <w:jc w:val="both"/>
        <w:rPr>
          <w:sz w:val="28"/>
        </w:rPr>
      </w:pPr>
      <w:r>
        <w:rPr>
          <w:sz w:val="28"/>
        </w:rPr>
        <w:t>Платёжное поручение — это поручение банку о перечислении соответствующих сумм поставщиком финансовым органам, другим организациям.</w:t>
      </w:r>
    </w:p>
    <w:p w:rsidR="006223F5" w:rsidRDefault="00362FC6">
      <w:pPr>
        <w:ind w:firstLine="709"/>
        <w:jc w:val="both"/>
        <w:rPr>
          <w:sz w:val="28"/>
        </w:rPr>
      </w:pPr>
      <w:r>
        <w:rPr>
          <w:sz w:val="28"/>
        </w:rPr>
        <w:t>Авансовый отчет. Лица, получившие деньги под отчет, должны представить авансовый отчет о действительном использовании выданных им сумм с приложением утвержденного закупочного акта, копии накладной о сдаче продукции. Выдача новых авансов производится только при условии полного расчета по ранее выданным авансам.</w:t>
      </w:r>
    </w:p>
    <w:p w:rsidR="006223F5" w:rsidRDefault="006223F5">
      <w:pPr>
        <w:ind w:firstLine="709"/>
        <w:jc w:val="both"/>
        <w:rPr>
          <w:sz w:val="28"/>
        </w:rPr>
      </w:pPr>
    </w:p>
    <w:p w:rsidR="006223F5" w:rsidRDefault="00362FC6">
      <w:pPr>
        <w:ind w:firstLine="709"/>
        <w:jc w:val="center"/>
        <w:rPr>
          <w:sz w:val="28"/>
        </w:rPr>
      </w:pPr>
      <w:r>
        <w:rPr>
          <w:sz w:val="28"/>
        </w:rPr>
        <w:t>Сопроводительные расчётно-платёжные документы.</w:t>
      </w:r>
    </w:p>
    <w:p w:rsidR="006223F5" w:rsidRDefault="00362FC6">
      <w:pPr>
        <w:ind w:firstLine="709"/>
        <w:jc w:val="both"/>
        <w:rPr>
          <w:sz w:val="28"/>
        </w:rPr>
      </w:pPr>
      <w:r>
        <w:rPr>
          <w:sz w:val="28"/>
        </w:rPr>
        <w:t>Реальное продвижение (передача) товара от поставщика (продавца) к покупателю сопровождается различными товарными и товарно-транспорт</w:t>
      </w:r>
      <w:r>
        <w:rPr>
          <w:sz w:val="28"/>
        </w:rPr>
        <w:softHyphen/>
        <w:t>ными документами. Прежде всего таким документом является накладная.</w:t>
      </w:r>
    </w:p>
    <w:p w:rsidR="006223F5" w:rsidRDefault="00362FC6">
      <w:pPr>
        <w:ind w:firstLine="709"/>
        <w:jc w:val="both"/>
        <w:rPr>
          <w:sz w:val="28"/>
        </w:rPr>
      </w:pPr>
      <w:r>
        <w:rPr>
          <w:sz w:val="28"/>
        </w:rPr>
        <w:t>Накладная — учётный документ, выдаваемый поставщиком покупателю или его ответственному представителю при получении товара. Накладная содержит основные характеристики передаваемого товара: единицу измерения, сорт, количество, упаковку, цену, сумму передаваемой партии, название и местонахождение поставщика, отправителя и получателя, основание для передачи товара. По накладной происходит перемещение товара «на сторону».</w:t>
      </w:r>
    </w:p>
    <w:p w:rsidR="006223F5" w:rsidRDefault="00362FC6">
      <w:pPr>
        <w:ind w:firstLine="709"/>
        <w:jc w:val="both"/>
        <w:rPr>
          <w:sz w:val="28"/>
        </w:rPr>
      </w:pPr>
      <w:r>
        <w:rPr>
          <w:sz w:val="28"/>
        </w:rPr>
        <w:t>Счёт-фактура. Плательщики налога на добавленную стоимость при совершении операций по реализации товаров (работ, услуг) как облагаемых налогом, так и не облагаемых налогом, составляют счета-фактуры и ведут журналы учёта счетов-фактур, книгу продаж по установленным формам. Каждая отгрузка товара (выполнение работы, оказание услуги) оформляются составлением счёта-фактуры и регистрации её в книге продаж и в книге покупок.</w:t>
      </w:r>
    </w:p>
    <w:p w:rsidR="006223F5" w:rsidRDefault="00362FC6">
      <w:pPr>
        <w:ind w:firstLine="709"/>
        <w:jc w:val="both"/>
        <w:rPr>
          <w:sz w:val="28"/>
        </w:rPr>
      </w:pPr>
      <w:r>
        <w:rPr>
          <w:sz w:val="28"/>
        </w:rPr>
        <w:t>Платежи — одна из ступеней движения товаров, которые надо получить со склада, нагрузить, транспортировать, разгрузить, сдать на склад, отправить в цех предприятия или для реализации в магазин и так далее. Каждый шаг товара на пути продвижения от производителя к потребителю должен быть документально подтверждён. К документам такого рода относятся доверенность, счета, путевые листы, акты, накладные требования.</w:t>
      </w:r>
    </w:p>
    <w:p w:rsidR="006223F5" w:rsidRDefault="006223F5">
      <w:pPr>
        <w:ind w:firstLine="709"/>
        <w:jc w:val="both"/>
        <w:rPr>
          <w:sz w:val="28"/>
        </w:rPr>
      </w:pPr>
    </w:p>
    <w:p w:rsidR="006223F5" w:rsidRDefault="00362FC6" w:rsidP="00362FC6">
      <w:pPr>
        <w:numPr>
          <w:ilvl w:val="0"/>
          <w:numId w:val="14"/>
        </w:numPr>
        <w:ind w:left="1134" w:hanging="567"/>
        <w:jc w:val="both"/>
        <w:rPr>
          <w:sz w:val="28"/>
        </w:rPr>
      </w:pPr>
      <w:r>
        <w:rPr>
          <w:sz w:val="28"/>
        </w:rPr>
        <w:t>Формы годовой отчётности.</w:t>
      </w:r>
    </w:p>
    <w:p w:rsidR="006223F5" w:rsidRDefault="006223F5">
      <w:pPr>
        <w:ind w:firstLine="709"/>
        <w:jc w:val="both"/>
        <w:rPr>
          <w:sz w:val="28"/>
        </w:rPr>
      </w:pPr>
    </w:p>
    <w:p w:rsidR="006223F5" w:rsidRDefault="00362FC6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Положением о бухгалтерском учёте и отчётности в РФ, утверждённым приказом Министерства Финансов РФ от 26.12.1991г. №170 и положением по бухгалтерскому учёту «Бухгалтерская отчётность организации», утверждённая приказом Министерства Финансов РФ от 08.02.1996г. №10:</w:t>
      </w:r>
    </w:p>
    <w:p w:rsidR="006223F5" w:rsidRDefault="00362FC6" w:rsidP="00362FC6">
      <w:pPr>
        <w:numPr>
          <w:ilvl w:val="0"/>
          <w:numId w:val="15"/>
        </w:numPr>
        <w:ind w:left="0" w:firstLine="851"/>
        <w:jc w:val="both"/>
        <w:rPr>
          <w:sz w:val="28"/>
        </w:rPr>
      </w:pPr>
      <w:r>
        <w:rPr>
          <w:sz w:val="28"/>
        </w:rPr>
        <w:t>Утвердить для представления годовой бухгалтерской отчётности юридическими лицами (кроме бюджетных учреждений, страховых организаций и банков) типовые формы (приложение 1 к настоящему приказу) и инструкцию по их заполнению (приложение 2 к настоящему приказу).</w:t>
      </w:r>
    </w:p>
    <w:p w:rsidR="006223F5" w:rsidRDefault="00362FC6" w:rsidP="00362FC6">
      <w:pPr>
        <w:numPr>
          <w:ilvl w:val="0"/>
          <w:numId w:val="15"/>
        </w:numPr>
        <w:ind w:left="0" w:firstLine="851"/>
        <w:jc w:val="both"/>
        <w:rPr>
          <w:sz w:val="28"/>
        </w:rPr>
      </w:pPr>
      <w:r>
        <w:rPr>
          <w:sz w:val="28"/>
        </w:rPr>
        <w:t>В состав годовой бухгалтерской отчётности включаются: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а) бухгалтерский баланс — форма №1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б) отчёт о финансовых результатах — форма №2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в) пояснения к бухгалтерскому балансу и отчёту о финансовых результатах: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отчёт о движении капитала — форма №3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отчёт о движении денежных средств - форма №4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приложение к бухгалтерскому балансу — форма №5</w:t>
      </w:r>
    </w:p>
    <w:p w:rsidR="006223F5" w:rsidRDefault="00362FC6" w:rsidP="00362FC6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пояснительная записка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г) специализированные формы, установленные в соответствии с пунктом 30 Положения о бухгалтерском учёте и отчётности в РФ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д) отчёт об использовании бюджетных ассигнований организаций — форма №2-2, утверждённая Письмом Министерства Финансов России от 27.06.1995г. №61 «О составлении квартальных бухгалтерских отчётов в 1995 и 1996 годах и годового отчёта за 1995 год организациями на бюджете», и Справка об остатках средств, полученных из федерального бюджета, утверждённая Письмом Министерства Финансов России от 09.09.1996 №79 «О составлении бухгалтерских отчётов в 1996 и квартальной отчётности в 1997 году организациями состоящими на бюджете». В случае установления Министерством Финансов России для таких организаций других форм отчётной информации о характере использования бюджетных средств они также должны включаться в состав бухгалтерской отчётности</w:t>
      </w:r>
    </w:p>
    <w:p w:rsidR="006223F5" w:rsidRDefault="00362FC6">
      <w:pPr>
        <w:ind w:firstLine="851"/>
        <w:jc w:val="both"/>
        <w:rPr>
          <w:sz w:val="28"/>
        </w:rPr>
      </w:pPr>
      <w:r>
        <w:rPr>
          <w:sz w:val="28"/>
        </w:rPr>
        <w:t>е) итоговая часть аудиторского заключения, выданного по результатам обязательного по законодательству РФ аудита бухгалтерской отчётности</w:t>
      </w:r>
    </w:p>
    <w:p w:rsidR="006223F5" w:rsidRDefault="00362FC6" w:rsidP="00362FC6">
      <w:pPr>
        <w:numPr>
          <w:ilvl w:val="0"/>
          <w:numId w:val="16"/>
        </w:numPr>
        <w:ind w:left="0" w:firstLine="851"/>
        <w:jc w:val="both"/>
        <w:rPr>
          <w:sz w:val="28"/>
        </w:rPr>
      </w:pPr>
      <w:r>
        <w:rPr>
          <w:sz w:val="28"/>
        </w:rPr>
        <w:t>Годовая бухгалтерская отчётность представляется в обязательном порядке в адреса и в сроки в соответствии с пунктами 75 и 76 Положения о бухгалтерском учёте и отчётности в РФ, а также пунктом 2 Постановления Правительства РФ от 21.04.1995г. №399 «О совершенствовании информационной системы представления бухгалтерской отчётности».</w:t>
      </w:r>
    </w:p>
    <w:p w:rsidR="006223F5" w:rsidRDefault="00362FC6" w:rsidP="00362FC6">
      <w:pPr>
        <w:numPr>
          <w:ilvl w:val="0"/>
          <w:numId w:val="17"/>
        </w:numPr>
        <w:ind w:left="0" w:firstLine="851"/>
        <w:jc w:val="both"/>
        <w:rPr>
          <w:sz w:val="28"/>
        </w:rPr>
      </w:pPr>
      <w:r>
        <w:rPr>
          <w:sz w:val="28"/>
        </w:rPr>
        <w:t>Настоящий приказ вводится в действие с годовой бухгалтерской отчётностью за 1996г.</w:t>
      </w:r>
      <w:bookmarkStart w:id="0" w:name="_GoBack"/>
      <w:bookmarkEnd w:id="0"/>
    </w:p>
    <w:sectPr w:rsidR="006223F5">
      <w:headerReference w:type="even" r:id="rId7"/>
      <w:headerReference w:type="default" r:id="rId8"/>
      <w:pgSz w:w="11907" w:h="16840"/>
      <w:pgMar w:top="1418" w:right="1418" w:bottom="1418" w:left="1418" w:header="680" w:footer="68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3F5" w:rsidRDefault="00362FC6">
      <w:r>
        <w:separator/>
      </w:r>
    </w:p>
  </w:endnote>
  <w:endnote w:type="continuationSeparator" w:id="0">
    <w:p w:rsidR="006223F5" w:rsidRDefault="0036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3F5" w:rsidRDefault="00362FC6">
      <w:r>
        <w:separator/>
      </w:r>
    </w:p>
  </w:footnote>
  <w:footnote w:type="continuationSeparator" w:id="0">
    <w:p w:rsidR="006223F5" w:rsidRDefault="00362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3F5" w:rsidRDefault="00362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16</w:t>
    </w:r>
    <w:r>
      <w:rPr>
        <w:rStyle w:val="a4"/>
      </w:rPr>
      <w:fldChar w:fldCharType="end"/>
    </w:r>
  </w:p>
  <w:p w:rsidR="006223F5" w:rsidRDefault="006223F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3F5" w:rsidRDefault="00362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6223F5" w:rsidRDefault="006223F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CE52BA70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96B2B608"/>
    <w:lvl w:ilvl="0">
      <w:numFmt w:val="bullet"/>
      <w:lvlText w:val="*"/>
      <w:lvlJc w:val="left"/>
    </w:lvl>
  </w:abstractNum>
  <w:abstractNum w:abstractNumId="2">
    <w:nsid w:val="0A1D3AD8"/>
    <w:multiLevelType w:val="singleLevel"/>
    <w:tmpl w:val="07F2331E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3">
    <w:nsid w:val="11F06A43"/>
    <w:multiLevelType w:val="singleLevel"/>
    <w:tmpl w:val="D090A3BE"/>
    <w:lvl w:ilvl="0">
      <w:start w:val="2"/>
      <w:numFmt w:val="decimal"/>
      <w:lvlText w:val="%1.1."/>
      <w:legacy w:legacy="1" w:legacySpace="0" w:legacyIndent="283"/>
      <w:lvlJc w:val="left"/>
      <w:pPr>
        <w:ind w:left="850" w:hanging="283"/>
      </w:pPr>
    </w:lvl>
  </w:abstractNum>
  <w:abstractNum w:abstractNumId="4">
    <w:nsid w:val="151914B9"/>
    <w:multiLevelType w:val="singleLevel"/>
    <w:tmpl w:val="07F2331E"/>
    <w:lvl w:ilvl="0">
      <w:start w:val="1"/>
      <w:numFmt w:val="decimal"/>
      <w:lvlText w:val="%1."/>
      <w:legacy w:legacy="1" w:legacySpace="0" w:legacyIndent="283"/>
      <w:lvlJc w:val="left"/>
      <w:pPr>
        <w:ind w:left="1275" w:hanging="283"/>
      </w:pPr>
    </w:lvl>
  </w:abstractNum>
  <w:abstractNum w:abstractNumId="5">
    <w:nsid w:val="202324FC"/>
    <w:multiLevelType w:val="singleLevel"/>
    <w:tmpl w:val="402090C0"/>
    <w:lvl w:ilvl="0">
      <w:start w:val="1"/>
      <w:numFmt w:val="decimal"/>
      <w:lvlText w:val="%1.2"/>
      <w:legacy w:legacy="1" w:legacySpace="0" w:legacyIndent="283"/>
      <w:lvlJc w:val="left"/>
    </w:lvl>
  </w:abstractNum>
  <w:abstractNum w:abstractNumId="6">
    <w:nsid w:val="22357698"/>
    <w:multiLevelType w:val="singleLevel"/>
    <w:tmpl w:val="D458C64A"/>
    <w:lvl w:ilvl="0">
      <w:start w:val="2"/>
      <w:numFmt w:val="decimal"/>
      <w:lvlText w:val="%1.2"/>
      <w:legacy w:legacy="1" w:legacySpace="0" w:legacyIndent="283"/>
      <w:lvlJc w:val="left"/>
      <w:pPr>
        <w:ind w:left="850" w:hanging="283"/>
      </w:pPr>
    </w:lvl>
  </w:abstractNum>
  <w:abstractNum w:abstractNumId="7">
    <w:nsid w:val="3BAC7AF7"/>
    <w:multiLevelType w:val="singleLevel"/>
    <w:tmpl w:val="6ACEE4C0"/>
    <w:lvl w:ilvl="0">
      <w:start w:val="2"/>
      <w:numFmt w:val="decimal"/>
      <w:lvlText w:val="%1.3."/>
      <w:legacy w:legacy="1" w:legacySpace="0" w:legacyIndent="283"/>
      <w:lvlJc w:val="left"/>
      <w:pPr>
        <w:ind w:left="850" w:hanging="283"/>
      </w:pPr>
    </w:lvl>
  </w:abstractNum>
  <w:abstractNum w:abstractNumId="8">
    <w:nsid w:val="40D025AD"/>
    <w:multiLevelType w:val="singleLevel"/>
    <w:tmpl w:val="0B529F68"/>
    <w:lvl w:ilvl="0">
      <w:start w:val="3"/>
      <w:numFmt w:val="decimal"/>
      <w:lvlText w:val="%1.1."/>
      <w:legacy w:legacy="1" w:legacySpace="0" w:legacyIndent="283"/>
      <w:lvlJc w:val="left"/>
      <w:pPr>
        <w:ind w:left="850" w:hanging="283"/>
      </w:pPr>
    </w:lvl>
  </w:abstractNum>
  <w:abstractNum w:abstractNumId="9">
    <w:nsid w:val="4F595B2F"/>
    <w:multiLevelType w:val="singleLevel"/>
    <w:tmpl w:val="BDB8EE5C"/>
    <w:lvl w:ilvl="0">
      <w:start w:val="3"/>
      <w:numFmt w:val="decimal"/>
      <w:lvlText w:val="%1.3."/>
      <w:legacy w:legacy="1" w:legacySpace="0" w:legacyIndent="283"/>
      <w:lvlJc w:val="left"/>
      <w:pPr>
        <w:ind w:left="850" w:hanging="283"/>
      </w:pPr>
    </w:lvl>
  </w:abstractNum>
  <w:abstractNum w:abstractNumId="10">
    <w:nsid w:val="5974068C"/>
    <w:multiLevelType w:val="singleLevel"/>
    <w:tmpl w:val="D04EE6FA"/>
    <w:lvl w:ilvl="0">
      <w:start w:val="3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11">
    <w:nsid w:val="6BDC2D8F"/>
    <w:multiLevelType w:val="singleLevel"/>
    <w:tmpl w:val="07F2331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2">
    <w:nsid w:val="6F7A6A73"/>
    <w:multiLevelType w:val="singleLevel"/>
    <w:tmpl w:val="07D61288"/>
    <w:lvl w:ilvl="0">
      <w:start w:val="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74B04E58"/>
    <w:multiLevelType w:val="singleLevel"/>
    <w:tmpl w:val="9A86A6C0"/>
    <w:lvl w:ilvl="0">
      <w:start w:val="3"/>
      <w:numFmt w:val="decimal"/>
      <w:lvlText w:val="%1.2."/>
      <w:legacy w:legacy="1" w:legacySpace="0" w:legacyIndent="283"/>
      <w:lvlJc w:val="left"/>
      <w:pPr>
        <w:ind w:left="850" w:hanging="283"/>
      </w:pPr>
    </w:lvl>
  </w:abstractNum>
  <w:abstractNum w:abstractNumId="14">
    <w:nsid w:val="78E24EEB"/>
    <w:multiLevelType w:val="multilevel"/>
    <w:tmpl w:val="C2C2218C"/>
    <w:lvl w:ilvl="0">
      <w:start w:val="1"/>
      <w:numFmt w:val="decimal"/>
      <w:lvlText w:val="%1.1."/>
      <w:legacy w:legacy="1" w:legacySpace="0" w:legacyIndent="0"/>
      <w:lvlJc w:val="left"/>
    </w:lvl>
    <w:lvl w:ilvl="1">
      <w:start w:val="1"/>
      <w:numFmt w:val="decimal"/>
      <w:lvlText w:val="%1.1.%2."/>
      <w:legacy w:legacy="1" w:legacySpace="0" w:legacyIndent="0"/>
      <w:lvlJc w:val="left"/>
    </w:lvl>
    <w:lvl w:ilvl="2">
      <w:start w:val="1"/>
      <w:numFmt w:val="decimal"/>
      <w:lvlText w:val="%1.1.%2.%3."/>
      <w:legacy w:legacy="1" w:legacySpace="0" w:legacyIndent="0"/>
      <w:lvlJc w:val="left"/>
    </w:lvl>
    <w:lvl w:ilvl="3">
      <w:start w:val="1"/>
      <w:numFmt w:val="decimal"/>
      <w:lvlText w:val="%1.1.%2.%3.%4."/>
      <w:legacy w:legacy="1" w:legacySpace="0" w:legacyIndent="0"/>
      <w:lvlJc w:val="left"/>
    </w:lvl>
    <w:lvl w:ilvl="4">
      <w:start w:val="1"/>
      <w:numFmt w:val="decimal"/>
      <w:lvlText w:val="%1.1.%2.%3.%4.%5."/>
      <w:legacy w:legacy="1" w:legacySpace="0" w:legacyIndent="0"/>
      <w:lvlJc w:val="left"/>
    </w:lvl>
    <w:lvl w:ilvl="5">
      <w:start w:val="1"/>
      <w:numFmt w:val="decimal"/>
      <w:lvlText w:val="%1.1.%2.%3.%4.%5.%6."/>
      <w:legacy w:legacy="1" w:legacySpace="0" w:legacyIndent="0"/>
      <w:lvlJc w:val="left"/>
    </w:lvl>
    <w:lvl w:ilvl="6">
      <w:start w:val="1"/>
      <w:numFmt w:val="decimal"/>
      <w:lvlText w:val="%1.1.%2.%3.%4.%5.%6.%7."/>
      <w:legacy w:legacy="1" w:legacySpace="0" w:legacyIndent="0"/>
      <w:lvlJc w:val="left"/>
    </w:lvl>
    <w:lvl w:ilvl="7">
      <w:start w:val="1"/>
      <w:numFmt w:val="decimal"/>
      <w:lvlText w:val="%1.1.%2.%3.%4.%5.%6.%7.%8."/>
      <w:legacy w:legacy="1" w:legacySpace="0" w:legacyIndent="0"/>
      <w:lvlJc w:val="left"/>
    </w:lvl>
    <w:lvl w:ilvl="8">
      <w:start w:val="1"/>
      <w:numFmt w:val="decimal"/>
      <w:lvlText w:val="%1.1.%2.%3.%4.%5.%6.%7.%8.%9."/>
      <w:legacy w:legacy="1" w:legacySpace="0" w:legacyIndent="0"/>
      <w:lvlJc w:val="left"/>
    </w:lvl>
  </w:abstractNum>
  <w:abstractNum w:abstractNumId="15">
    <w:nsid w:val="79921913"/>
    <w:multiLevelType w:val="singleLevel"/>
    <w:tmpl w:val="50402DBE"/>
    <w:lvl w:ilvl="0">
      <w:start w:val="2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5"/>
  </w:num>
  <w:num w:numId="5">
    <w:abstractNumId w:val="1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3"/>
  </w:num>
  <w:num w:numId="14">
    <w:abstractNumId w:val="9"/>
  </w:num>
  <w:num w:numId="15">
    <w:abstractNumId w:val="11"/>
  </w:num>
  <w:num w:numId="16">
    <w:abstractNumId w:val="12"/>
  </w:num>
  <w:num w:numId="17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69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FC6"/>
    <w:rsid w:val="00092EC5"/>
    <w:rsid w:val="00362FC6"/>
    <w:rsid w:val="0062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3EA23-FC9C-4D07-A0A7-5968D891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4095</Words>
  <Characters>23347</Characters>
  <Application>Microsoft Office Word</Application>
  <DocSecurity>0</DocSecurity>
  <Lines>194</Lines>
  <Paragraphs>54</Paragraphs>
  <ScaleCrop>false</ScaleCrop>
  <Company>ИЧП СИНБАТ</Company>
  <LinksUpToDate>false</LinksUpToDate>
  <CharactersWithSpaces>27388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история предприятия ОАО «Ахтуба»</dc:title>
  <dc:subject/>
  <dc:creator>Сопот Т.А.</dc:creator>
  <cp:keywords/>
  <dc:description/>
  <cp:lastModifiedBy>Irina</cp:lastModifiedBy>
  <cp:revision>2</cp:revision>
  <cp:lastPrinted>1998-08-25T01:21:00Z</cp:lastPrinted>
  <dcterms:created xsi:type="dcterms:W3CDTF">2014-09-05T14:23:00Z</dcterms:created>
  <dcterms:modified xsi:type="dcterms:W3CDTF">2014-09-05T14:23:00Z</dcterms:modified>
</cp:coreProperties>
</file>