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2E" w:rsidRDefault="00610D2E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Аналитическая классификация катионов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основу классификации ионов в аналитической химии положено различие в растворимости образуемых ими солей и гидроксидов, позволяющее отделять (или отличать) одни группы ионов от других.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Существуют разные системы группового разделения ионов: сероводородная, кислотно-основная, аммиачно-фосфатная, тиоацетамидная и т. д. Каждая из этих систем имеет свои преимущества и недостатки. Основным недостатком сероводородной системы является необходимость работы с сероводородом, что требует хорошей вентиляции, склонность к образованию коллоидных сульфидных осадков, в результате чего нарушается разделение катионов на группы, и т. д. В кислотно-основной системе при разделении групп можно встретиться с затруднениями, особенно если концентрации разделяемых катионов сильно различаются. С подобными же затруднениями можно встретиться и в других системах разделения. Сознательный подход к групповому разделению позволяет в каждом конкретном случае использовать для этой цели метод, наиболее подходящий для анализируемой смеси ионов.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Классический систематический метод качественного анализа катионов основан на сульфидной классификации катионов, в которой катионы подразделяются на пять групп на основании различия в растворимости их сульфидов, хлоридов, карбонатов и гидроксидов (см. табл. 3).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Основываясь на приведенных в табл. 3 данных, операцию обнаружения катионов различных аналитических групп проводят следующим образом.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b w:val="0"/>
          <w:bCs w:val="0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 Исследуемый раствор подкисляют разбавленной НCl. При этом ионы V группы осаждаются в виде соответствующих хлоридов.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b w:val="0"/>
          <w:bCs w:val="0"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 Отделив осадок, пропускают через кислый раствор газообразный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При этом катионы IV группы осаждаются в виде сульфидов. Для отделения ионов IVБ подгруппы осадок обрабатывают Na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S, после чего в осадке остаются только сульфиды катионов IVА подгруппы.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b w:val="0"/>
          <w:bCs w:val="0"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Раствор после отделения осадка сульфидов ионов IV группы нейтрализуют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OH (с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C1) и обрабатывают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S. При этом осаждаются сульфиды или гидроксиды (в случае А1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  <w:vertAlign w:val="subscript"/>
        </w:rPr>
        <w:t>,</w:t>
      </w:r>
      <w:r>
        <w:rPr>
          <w:color w:val="000000"/>
          <w:sz w:val="24"/>
          <w:szCs w:val="24"/>
        </w:rPr>
        <w:t>Сг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>) катионов III группы.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b w:val="0"/>
          <w:bCs w:val="0"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Разрушив избыток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 кипячением с уксусной кислотой, на раствор действуют (NH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CO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. При этом катионы II группы выпадают в осадок в виде карбонатов, а катионы I группы остаются в растворе, где их и открывают.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Обнаружение иона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, который в ходе анализа вводят в раствор с реактивами, проводят в отдельной порции исследуемого раствора с помощью специфической реакции (щелочь в газовой камере) или реактива Несслера, представляющего собой смесь K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[HgI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] и КОН. Реактив Несслера при взаимодействии с солями аммония образует красно-бурый осадок: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C1 + 2K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[HgI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] + 4</w:t>
      </w:r>
      <w:r>
        <w:rPr>
          <w:color w:val="000000"/>
          <w:sz w:val="24"/>
          <w:szCs w:val="24"/>
        </w:rPr>
        <w:t>КОН</w:t>
      </w:r>
      <w:r>
        <w:rPr>
          <w:color w:val="000000"/>
          <w:sz w:val="24"/>
          <w:szCs w:val="24"/>
          <w:lang w:val="en-US"/>
        </w:rPr>
        <w:t xml:space="preserve"> = [OHg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NH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]I + 7KI + KCl + 3H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</w:t>
      </w:r>
    </w:p>
    <w:p w:rsidR="00610D2E" w:rsidRDefault="00610D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Связь сульфидной классификации катионов с электронной конфигурацией атомов и ионов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Растворимость солей и гидроксидов катионов, лежащая в основе аналитической классификации, как и все другие свойства катионов, функционально связана с положением соответствующих элементов в периодической системе.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Катионы s-элементов, обладающие 2- и 8-электронным внешним слоем (Li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, Na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, K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, Mg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 Са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 Sr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Ba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и др.), являются слабыми поляризаторами и почти не поляризуются сами. При взаимодействии подобных катионов с сульфид-ионами не происходит заметной деформации электронных оболочек. Такие катионы, как правило, не образуют труднорастворимых в воде сульфидов и относятся к I и II аналитическим группам. Катионы Ag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, Hg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 As(III), As(V), Sn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, Sb(III), Pb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 Bi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 xml:space="preserve"> и др., обладающие многоэлектронным внешним слоем (18 и 18 + 2), являются сильными поляризаторами и в то же время легко поляризуются сами. При взаимодействии подобных катионов с легко деформируемыми электронными оболочками сульфид-ионов происходит сильная поляризация обоих ионов и значительная деформация их внешних электронных оболочек. В соответствии с этим все катионы, обладающие внешней электронной структурой 18е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 или (18 + 2e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) как правило, образуют сульфиды с очень малыми значениями констант растворимости и потому принадлежат к IV и V аналитическим группам.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Катионы с переходной электронной структурой, т. е. с незаконченным 18-электронным внешним слоем (Mn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 Fc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 Fe</w:t>
      </w:r>
      <w:r>
        <w:rPr>
          <w:color w:val="000000"/>
          <w:sz w:val="24"/>
          <w:szCs w:val="24"/>
          <w:vertAlign w:val="superscript"/>
        </w:rPr>
        <w:t>3+</w:t>
      </w:r>
      <w:r>
        <w:rPr>
          <w:color w:val="000000"/>
          <w:sz w:val="24"/>
          <w:szCs w:val="24"/>
        </w:rPr>
        <w:t>, Co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 Ni</w:t>
      </w:r>
      <w:r>
        <w:rPr>
          <w:color w:val="000000"/>
          <w:sz w:val="24"/>
          <w:szCs w:val="24"/>
          <w:vertAlign w:val="superscript"/>
        </w:rPr>
        <w:t xml:space="preserve">2+ </w:t>
      </w:r>
      <w:r>
        <w:rPr>
          <w:color w:val="000000"/>
          <w:sz w:val="24"/>
          <w:szCs w:val="24"/>
        </w:rPr>
        <w:t>и др.), занимают промежуточное положение. Являясь сравнительно сильными поляризаторами, они в то же время заметно поляризуются сами и потому при взаимодействии с сульфид-ионами дают труднорастворимые сульфиды. Эти катионы образуют III аналитическую группу. Их сульфиды имеют значительно большие значения констант растворимости, чем катионы IV и V групп.</w:t>
      </w:r>
    </w:p>
    <w:p w:rsidR="00610D2E" w:rsidRDefault="00610D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сульфидная классификация катионов, основанная на признаке, имеющем на первый взгляд чисто практический характер, ни в коей мере не случайна, а связана с электронной конфигурацией атомов и ионов.</w:t>
      </w:r>
    </w:p>
    <w:tbl>
      <w:tblPr>
        <w:tblW w:w="109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07"/>
        <w:gridCol w:w="1487"/>
        <w:gridCol w:w="1487"/>
        <w:gridCol w:w="1519"/>
        <w:gridCol w:w="1644"/>
        <w:gridCol w:w="1722"/>
        <w:gridCol w:w="1487"/>
        <w:gridCol w:w="1729"/>
      </w:tblGrid>
      <w:tr w:rsidR="00610D2E" w:rsidRPr="00610D2E">
        <w:trPr>
          <w:cantSplit/>
          <w:trHeight w:val="345"/>
          <w:tblCellSpacing w:w="7" w:type="dxa"/>
        </w:trPr>
        <w:tc>
          <w:tcPr>
            <w:tcW w:w="6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Группа катионов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V</w:t>
            </w:r>
          </w:p>
        </w:tc>
      </w:tr>
      <w:tr w:rsidR="00610D2E" w:rsidRPr="00610D2E">
        <w:trPr>
          <w:cantSplit/>
          <w:trHeight w:val="51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10D2E" w:rsidRPr="00610D2E">
        <w:trPr>
          <w:cantSplit/>
          <w:trHeight w:val="1110"/>
          <w:tblCellSpacing w:w="7" w:type="dxa"/>
        </w:trPr>
        <w:tc>
          <w:tcPr>
            <w:tcW w:w="6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Характеристика группы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Сульфиды и карбонаты растворимы в воде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Сульфиды растворимы в воде, карбонаты - нет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Сульфиды или образующиеся вместо них гидроксиды растворимы в разбавленных кислотых</w:t>
            </w:r>
          </w:p>
        </w:tc>
        <w:tc>
          <w:tcPr>
            <w:tcW w:w="1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Сульфиды нерастворимы в разбавленных кислотых</w:t>
            </w:r>
          </w:p>
        </w:tc>
      </w:tr>
      <w:tr w:rsidR="00610D2E" w:rsidRPr="00610D2E">
        <w:trPr>
          <w:cantSplit/>
          <w:trHeight w:val="42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Гидроксиды амфитерны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Гидроксиды неамфотерны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Сульфиды нерастворимы в Na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610D2E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Сульфиды растворимы в Na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610D2E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Хлориды нерастворимы в воде</w:t>
            </w:r>
          </w:p>
        </w:tc>
      </w:tr>
      <w:tr w:rsidR="00610D2E" w:rsidRPr="00610D2E">
        <w:trPr>
          <w:trHeight w:val="285"/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Катионы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Na</w:t>
            </w:r>
            <w:r w:rsidRPr="00610D2E">
              <w:rPr>
                <w:color w:val="000000"/>
                <w:sz w:val="24"/>
                <w:szCs w:val="24"/>
                <w:vertAlign w:val="superscript"/>
              </w:rPr>
              <w:t>+</w:t>
            </w:r>
            <w:r w:rsidRPr="00610D2E">
              <w:rPr>
                <w:color w:val="000000"/>
                <w:sz w:val="24"/>
                <w:szCs w:val="24"/>
              </w:rPr>
              <w:t>, K</w:t>
            </w:r>
            <w:r w:rsidRPr="00610D2E">
              <w:rPr>
                <w:color w:val="000000"/>
                <w:sz w:val="24"/>
                <w:szCs w:val="24"/>
                <w:vertAlign w:val="superscript"/>
              </w:rPr>
              <w:t>+</w:t>
            </w:r>
            <w:r w:rsidRPr="00610D2E">
              <w:rPr>
                <w:color w:val="000000"/>
                <w:sz w:val="24"/>
                <w:szCs w:val="24"/>
              </w:rPr>
              <w:t>, NH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610D2E">
              <w:rPr>
                <w:color w:val="000000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10D2E">
              <w:rPr>
                <w:color w:val="000000"/>
                <w:sz w:val="24"/>
                <w:szCs w:val="24"/>
                <w:lang w:val="en-US"/>
              </w:rPr>
              <w:t>Mg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Ca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Sr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Ba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10D2E">
              <w:rPr>
                <w:color w:val="000000"/>
                <w:sz w:val="24"/>
                <w:szCs w:val="24"/>
                <w:lang w:val="en-US"/>
              </w:rPr>
              <w:t>Al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3+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Cr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3+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Zn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10D2E">
              <w:rPr>
                <w:color w:val="000000"/>
                <w:sz w:val="24"/>
                <w:szCs w:val="24"/>
                <w:lang w:val="en-US"/>
              </w:rPr>
              <w:t>Fe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Fe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3+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Mn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Co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Ni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10D2E">
              <w:rPr>
                <w:color w:val="000000"/>
                <w:sz w:val="24"/>
                <w:szCs w:val="24"/>
                <w:lang w:val="en-US"/>
              </w:rPr>
              <w:t>Cu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Bi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3+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Cd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10D2E">
              <w:rPr>
                <w:color w:val="000000"/>
                <w:sz w:val="24"/>
                <w:szCs w:val="24"/>
                <w:lang w:val="en-US"/>
              </w:rPr>
              <w:t>As(III, V), Sb(III, V), Sn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Sn(IV), Hg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10D2E">
              <w:rPr>
                <w:color w:val="000000"/>
                <w:sz w:val="24"/>
                <w:szCs w:val="24"/>
                <w:lang w:val="en-US"/>
              </w:rPr>
              <w:t>Ag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Hg</w:t>
            </w:r>
            <w:r w:rsidRPr="00610D2E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  <w:r w:rsidRPr="00610D2E">
              <w:rPr>
                <w:color w:val="000000"/>
                <w:sz w:val="24"/>
                <w:szCs w:val="24"/>
                <w:lang w:val="en-US"/>
              </w:rPr>
              <w:t>, Pb</w:t>
            </w:r>
            <w:r w:rsidRPr="00610D2E">
              <w:rPr>
                <w:color w:val="000000"/>
                <w:sz w:val="24"/>
                <w:szCs w:val="24"/>
                <w:vertAlign w:val="superscript"/>
                <w:lang w:val="en-US"/>
              </w:rPr>
              <w:t>2+</w:t>
            </w:r>
          </w:p>
        </w:tc>
      </w:tr>
      <w:tr w:rsidR="00610D2E" w:rsidRPr="00610D2E">
        <w:trPr>
          <w:trHeight w:val="435"/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Групповой реагент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(NH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610D2E">
              <w:rPr>
                <w:color w:val="000000"/>
                <w:sz w:val="24"/>
                <w:szCs w:val="24"/>
              </w:rPr>
              <w:t>)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610D2E">
              <w:rPr>
                <w:color w:val="000000"/>
                <w:sz w:val="24"/>
                <w:szCs w:val="24"/>
              </w:rPr>
              <w:t>CO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(NH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610D2E">
              <w:rPr>
                <w:color w:val="000000"/>
                <w:sz w:val="24"/>
                <w:szCs w:val="24"/>
              </w:rPr>
              <w:t>)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610D2E">
              <w:rPr>
                <w:color w:val="000000"/>
                <w:sz w:val="24"/>
                <w:szCs w:val="24"/>
              </w:rPr>
              <w:t>S в присутствии NH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610D2E">
              <w:rPr>
                <w:color w:val="000000"/>
                <w:sz w:val="24"/>
                <w:szCs w:val="24"/>
              </w:rPr>
              <w:t>OH и NH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610D2E">
              <w:rPr>
                <w:color w:val="000000"/>
                <w:sz w:val="24"/>
                <w:szCs w:val="24"/>
              </w:rPr>
              <w:t>Cl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H</w:t>
            </w:r>
            <w:r w:rsidRPr="00610D2E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610D2E">
              <w:rPr>
                <w:color w:val="000000"/>
                <w:sz w:val="24"/>
                <w:szCs w:val="24"/>
              </w:rPr>
              <w:t>S в присутствии HCl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0D2E" w:rsidRPr="00610D2E" w:rsidRDefault="00610D2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610D2E">
              <w:rPr>
                <w:color w:val="000000"/>
                <w:sz w:val="24"/>
                <w:szCs w:val="24"/>
              </w:rPr>
              <w:t>HCl</w:t>
            </w:r>
          </w:p>
        </w:tc>
      </w:tr>
    </w:tbl>
    <w:p w:rsidR="00610D2E" w:rsidRDefault="00610D2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10D2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F2E"/>
    <w:multiLevelType w:val="hybridMultilevel"/>
    <w:tmpl w:val="C4E2B360"/>
    <w:lvl w:ilvl="0" w:tplc="0B7AA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562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3B2A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969E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1789C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8A2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E418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1E71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84B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AC43F3F"/>
    <w:multiLevelType w:val="hybridMultilevel"/>
    <w:tmpl w:val="17DA4904"/>
    <w:lvl w:ilvl="0" w:tplc="6EAC3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69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85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4C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8C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CA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AC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A3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F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D6285"/>
    <w:multiLevelType w:val="hybridMultilevel"/>
    <w:tmpl w:val="A2D09F5E"/>
    <w:lvl w:ilvl="0" w:tplc="42341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A2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65D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47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E7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2FB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CF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A9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8D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77C6F"/>
    <w:multiLevelType w:val="hybridMultilevel"/>
    <w:tmpl w:val="EBE2D40E"/>
    <w:lvl w:ilvl="0" w:tplc="CA62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5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A3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8E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AB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236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C9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6F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6B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3D4"/>
    <w:rsid w:val="000A0BF5"/>
    <w:rsid w:val="00610D2E"/>
    <w:rsid w:val="00C013B4"/>
    <w:rsid w:val="00F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A5A98B-2AB2-4624-A480-257EB7A9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3391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классификация катионов</vt:lpstr>
    </vt:vector>
  </TitlesOfParts>
  <Company>PERSONAL COMPUTERS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классификация катионов</dc:title>
  <dc:subject/>
  <dc:creator>USER</dc:creator>
  <cp:keywords/>
  <dc:description/>
  <cp:lastModifiedBy>admin</cp:lastModifiedBy>
  <cp:revision>2</cp:revision>
  <dcterms:created xsi:type="dcterms:W3CDTF">2014-01-26T13:14:00Z</dcterms:created>
  <dcterms:modified xsi:type="dcterms:W3CDTF">2014-01-26T13:14:00Z</dcterms:modified>
</cp:coreProperties>
</file>