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F4" w:rsidRDefault="00D66D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46258223"/>
      <w:bookmarkStart w:id="1" w:name="_Toc346268782"/>
      <w:bookmarkStart w:id="2" w:name="_Toc3893150"/>
      <w:r>
        <w:rPr>
          <w:b/>
          <w:bCs/>
          <w:color w:val="000000"/>
          <w:sz w:val="32"/>
          <w:szCs w:val="32"/>
        </w:rPr>
        <w:t>Производственное освещение</w:t>
      </w:r>
      <w:bookmarkEnd w:id="0"/>
      <w:bookmarkEnd w:id="1"/>
      <w:bookmarkEnd w:id="2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информация подается через зрительный анализатор. Вредное воздействие на глаза человека оказывают следующие опасные и вредны производственные факторы: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Недостаточное освещение раб. зоны;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Отсутствие/недостаток естественного света;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Повышенная яркость;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Перенапряжение анализаторов (в т.ч. зрительных)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ВОЗ на зрение влияет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УФИ;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яркий видимый свет;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мерцание;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блики и отраженный свет</w:t>
      </w:r>
    </w:p>
    <w:p w:rsidR="00E83DF4" w:rsidRDefault="00D66D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46258224"/>
      <w:bookmarkStart w:id="4" w:name="_Toc346268783"/>
      <w:bookmarkStart w:id="5" w:name="_Toc3893151"/>
      <w:r>
        <w:rPr>
          <w:b/>
          <w:bCs/>
          <w:color w:val="000000"/>
          <w:sz w:val="28"/>
          <w:szCs w:val="28"/>
        </w:rPr>
        <w:t>Физиологические характеристики зрения</w:t>
      </w:r>
      <w:bookmarkEnd w:id="3"/>
      <w:bookmarkEnd w:id="4"/>
      <w:bookmarkEnd w:id="5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острота зрения;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устойчивость ясного видения (различие предметов в течение длительного времени);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контрастная чувствительность (разные по яркости);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скорость зрительного восприятия (временной фактор);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адаптация зрения;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аккомодация (различие предметов при изменении расстояния)</w:t>
      </w:r>
    </w:p>
    <w:p w:rsidR="00E83DF4" w:rsidRDefault="00D66D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46258225"/>
      <w:bookmarkStart w:id="7" w:name="_Toc346268784"/>
      <w:bookmarkStart w:id="8" w:name="_Toc3893152"/>
      <w:r>
        <w:rPr>
          <w:b/>
          <w:bCs/>
          <w:color w:val="000000"/>
          <w:sz w:val="28"/>
          <w:szCs w:val="28"/>
        </w:rPr>
        <w:t>Светотехнические величины</w:t>
      </w:r>
      <w:bookmarkEnd w:id="6"/>
      <w:bookmarkEnd w:id="7"/>
      <w:bookmarkEnd w:id="8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понятие связано с той или иной осветительной установкой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Световой поток</w:t>
      </w:r>
      <w:r>
        <w:rPr>
          <w:color w:val="000000"/>
          <w:sz w:val="24"/>
          <w:szCs w:val="24"/>
        </w:rPr>
        <w:tab/>
        <w:t>F, [лм] - люмен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Сила света</w:t>
      </w:r>
      <w:r>
        <w:rPr>
          <w:color w:val="000000"/>
          <w:sz w:val="24"/>
          <w:szCs w:val="24"/>
        </w:rPr>
        <w:tab/>
        <w:t>J, [кд] - кандела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J = F/</w:t>
      </w:r>
      <w:r>
        <w:rPr>
          <w:color w:val="000000"/>
          <w:sz w:val="24"/>
          <w:szCs w:val="24"/>
        </w:rPr>
        <w:sym w:font="Symbol" w:char="F077"/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Освещенность</w:t>
      </w:r>
      <w:r>
        <w:rPr>
          <w:color w:val="000000"/>
          <w:sz w:val="24"/>
          <w:szCs w:val="24"/>
        </w:rPr>
        <w:tab/>
        <w:t>E, [лк] - люкс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E = F/S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Яркость</w:t>
      </w:r>
      <w:r>
        <w:rPr>
          <w:color w:val="000000"/>
          <w:sz w:val="24"/>
          <w:szCs w:val="24"/>
        </w:rPr>
        <w:tab/>
        <w:t>L, [кд/м2]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L = J/S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Контраст К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К = (L0 - LФ)/L0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Контраст бывает: - большой (К&gt;0,5); - средний (К = 0,2 - 0,5); - малый (К&lt;0,2).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Фон — поверхность, которая прилегает к объекту различения.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Наименьший размер объекта различения с фоном.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Коэффициент отражения </w:t>
      </w:r>
      <w:r>
        <w:rPr>
          <w:color w:val="000000"/>
          <w:sz w:val="24"/>
          <w:szCs w:val="24"/>
        </w:rPr>
        <w:sym w:font="Symbol" w:char="F072"/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 xml:space="preserve"> = FПАД/FОТР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коэф. отражения фон бывает: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светлый 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 xml:space="preserve"> = 0,2 - 0,4; 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темный 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 xml:space="preserve"> &lt; 0,2.</w:t>
      </w:r>
    </w:p>
    <w:p w:rsidR="00E83DF4" w:rsidRDefault="00D66D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9" w:name="_Toc346258226"/>
      <w:bookmarkStart w:id="10" w:name="_Toc346268785"/>
      <w:bookmarkStart w:id="11" w:name="_Toc3893153"/>
      <w:r>
        <w:rPr>
          <w:b/>
          <w:bCs/>
          <w:color w:val="000000"/>
          <w:sz w:val="28"/>
          <w:szCs w:val="28"/>
        </w:rPr>
        <w:t>Естественное освещение</w:t>
      </w:r>
      <w:bookmarkEnd w:id="9"/>
      <w:bookmarkEnd w:id="10"/>
      <w:bookmarkEnd w:id="11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естественном освещении к-либо точки горизонтальной плоскости, за основу при нормировании принимается манимально допустимая величина коэффициента естественной освещенности.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Коэф. естеств. освещ. (КЕО) = Е = EВН/ЕСН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100%, где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EВН - освещенность к-либо точки горизонтальной пов-ти, находящейся внутри помещения [лк];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ЕСН - освещенность к-либо точки, находящейся снаружи помещения на расстоянии 1 м от здания [лк];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2" w:name="_Toc346258227"/>
      <w:bookmarkStart w:id="13" w:name="_Toc346268786"/>
      <w:bookmarkStart w:id="14" w:name="_Toc3893154"/>
      <w:r>
        <w:rPr>
          <w:color w:val="000000"/>
          <w:sz w:val="24"/>
          <w:szCs w:val="24"/>
        </w:rPr>
        <w:t>Системы естественного освещения</w:t>
      </w:r>
      <w:bookmarkEnd w:id="12"/>
      <w:bookmarkEnd w:id="13"/>
      <w:bookmarkEnd w:id="14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Боковое освещение</w:t>
      </w:r>
      <w:r>
        <w:rPr>
          <w:color w:val="000000"/>
          <w:sz w:val="24"/>
          <w:szCs w:val="24"/>
        </w:rPr>
        <w:tab/>
        <w:t>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Верхнее освещение</w:t>
      </w:r>
      <w:r>
        <w:rPr>
          <w:color w:val="000000"/>
          <w:sz w:val="24"/>
          <w:szCs w:val="24"/>
        </w:rPr>
        <w:tab/>
        <w:t>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Комбинированное освещение</w:t>
      </w:r>
      <w:r>
        <w:rPr>
          <w:color w:val="000000"/>
          <w:sz w:val="24"/>
          <w:szCs w:val="24"/>
        </w:rPr>
        <w:tab/>
        <w:t>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величины в соответствии со СНиП II-4-79 (Строительные нормы и правила. Естественное и искусственное освещение. Нормы проектирования -М, Стройиздат, 1980) нормируются.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выбора естественного освещения необходимо учитывать следующие факторы: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зрительной работы;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размер объекта различения с фоном;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Разряд зрительной работы;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освещения.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величины объекта различения с фоном все зрительные работы подразделяются на 8 разрядов.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Разряд зрительной работы — отношение минимального размера объекта различения с фоном к расстоянию от органов зрения до объекта различения.</w:t>
      </w:r>
    </w:p>
    <w:p w:rsidR="00E83DF4" w:rsidRDefault="00D66D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5" w:name="_Toc346258228"/>
      <w:bookmarkStart w:id="16" w:name="_Toc346268787"/>
      <w:bookmarkStart w:id="17" w:name="_Toc3893155"/>
      <w:r>
        <w:rPr>
          <w:b/>
          <w:bCs/>
          <w:color w:val="000000"/>
          <w:sz w:val="28"/>
          <w:szCs w:val="28"/>
        </w:rPr>
        <w:t>Искусственное освещение</w:t>
      </w:r>
      <w:bookmarkEnd w:id="15"/>
      <w:bookmarkEnd w:id="16"/>
      <w:bookmarkEnd w:id="17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Искусственное освещение — освещение помещений прямым или отраженным светом искусственного источника света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основу при нормировании принимается минимально допустимая величина освещенности какой-либо точки.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8" w:name="_Toc346258229"/>
      <w:bookmarkStart w:id="19" w:name="_Toc346268788"/>
      <w:bookmarkStart w:id="20" w:name="_Toc3893156"/>
      <w:r>
        <w:rPr>
          <w:color w:val="000000"/>
          <w:sz w:val="24"/>
          <w:szCs w:val="24"/>
        </w:rPr>
        <w:t>Системы искусственного освещения</w:t>
      </w:r>
      <w:bookmarkEnd w:id="18"/>
      <w:bookmarkEnd w:id="19"/>
      <w:bookmarkEnd w:id="20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местное (локальное);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комбинированное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Может быть использовано в производственных помещениях общее и комбинированное, а одно местное использовать нельзя.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место также освещение: - аварийное; - дежурное; - эвакуационное.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СНиП II-4-79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1" w:name="_Toc346258230"/>
      <w:bookmarkStart w:id="22" w:name="_Toc346268789"/>
      <w:bookmarkStart w:id="23" w:name="_Toc3893157"/>
      <w:r>
        <w:rPr>
          <w:color w:val="000000"/>
          <w:sz w:val="24"/>
          <w:szCs w:val="24"/>
        </w:rPr>
        <w:t>Факторы, учитываемые при нормировании искусственного освещения:</w:t>
      </w:r>
      <w:bookmarkEnd w:id="21"/>
      <w:bookmarkEnd w:id="22"/>
      <w:bookmarkEnd w:id="23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зрительной работы;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размер объекта различения с фоном;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Разряд зрительной работы;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Контраст объекта с фоном;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Светлость фона (характеристика фона);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освещения;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 источника света.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Подразряд зрительной работы определяется сочетанием п.4 и п.5.</w:t>
      </w:r>
    </w:p>
    <w:p w:rsidR="00E83DF4" w:rsidRDefault="00D66D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4" w:name="_Toc346258231"/>
      <w:bookmarkStart w:id="25" w:name="_Toc346268790"/>
      <w:bookmarkStart w:id="26" w:name="_Toc3893158"/>
      <w:r>
        <w:rPr>
          <w:b/>
          <w:bCs/>
          <w:color w:val="000000"/>
          <w:sz w:val="28"/>
          <w:szCs w:val="28"/>
        </w:rPr>
        <w:t>Методика расчета естественного освещения</w:t>
      </w:r>
      <w:bookmarkEnd w:id="24"/>
      <w:bookmarkEnd w:id="25"/>
      <w:bookmarkEnd w:id="26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Используется метод А.Д.Данилюка. Определяется площадь поверхности оконных премов.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7" w:name="_Toc346258232"/>
      <w:bookmarkStart w:id="28" w:name="_Toc346268791"/>
      <w:bookmarkStart w:id="29" w:name="_Toc3893159"/>
      <w:r>
        <w:rPr>
          <w:color w:val="000000"/>
          <w:sz w:val="24"/>
          <w:szCs w:val="24"/>
        </w:rPr>
        <w:t>Медодика расчета искусственного освещения</w:t>
      </w:r>
      <w:bookmarkEnd w:id="27"/>
      <w:bookmarkEnd w:id="28"/>
      <w:bookmarkEnd w:id="29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светового потока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удельной мощности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Точечный метод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светового потока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Задача. Определить освещенность на раб. месте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ЕРМ = (0,9 - 1,2) ЕН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этого необходимо выбрать: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систему освещения;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 света;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светильник.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Формула для определения светового потока лампы или группы ламп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15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 o:bordertopcolor="this" o:borderleftcolor="this" o:borderbottomcolor="this" o:borderrightcolor="this">
            <v:imagedata r:id="rId5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3" ShapeID="_x0000_i1025" DrawAspect="Content" ObjectID="_1454313319" r:id="rId6"/>
        </w:object>
      </w:r>
      <w:r>
        <w:rPr>
          <w:color w:val="000000"/>
          <w:sz w:val="24"/>
          <w:szCs w:val="24"/>
        </w:rPr>
        <w:t>, где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 - нормируемая величина освещенности [лк];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- площадь производственного помещения [м2];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- коэф. запаса;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 - кол-во светильников [шт];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- поправочный коэф-т, зависит от типа лампы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8"/>
      </w:r>
      <w:r>
        <w:rPr>
          <w:color w:val="000000"/>
          <w:sz w:val="24"/>
          <w:szCs w:val="24"/>
        </w:rPr>
        <w:t xml:space="preserve"> - коэф-т использования светового потока, для выбора которого необходимо знать: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коэф. отражения от стен и потолка (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 xml:space="preserve">С, 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>П);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индекс помещения - i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НР</w:t>
      </w:r>
      <w:r>
        <w:rPr>
          <w:color w:val="000000"/>
          <w:sz w:val="24"/>
          <w:szCs w:val="24"/>
        </w:rPr>
        <w:tab/>
        <w:t>- высота подвеса светильников над раб. поверхностью;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(А+В)</w:t>
      </w:r>
      <w:r>
        <w:rPr>
          <w:color w:val="000000"/>
          <w:sz w:val="24"/>
          <w:szCs w:val="24"/>
        </w:rPr>
        <w:tab/>
        <w:t>- полупериметр помещения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ЛЛ ламп, зная групповой световой поток F и кол-во ламп в сетильнике n (2 или 4), определим световой поток одной лампы.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FРАСЧ = (0,9 - 1,2) FТАБЛ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Распределение светильников по площади производственного помещения.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ЛЛ — вдоль длинной стороны помещения, вдоль окон, параллельно стенам с окнами.</w:t>
      </w:r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ЛН, ДРЛ — в шахматном порядке.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3"/>
      </w:tblGrid>
      <w:tr w:rsidR="00E83DF4">
        <w:tc>
          <w:tcPr>
            <w:tcW w:w="659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ЛЛ лампы</w:t>
            </w:r>
          </w:p>
        </w:tc>
      </w:tr>
      <w:tr w:rsidR="00E83DF4">
        <w:tc>
          <w:tcPr>
            <w:tcW w:w="3047" w:type="dxa"/>
            <w:tcBorders>
              <w:top w:val="nil"/>
              <w:bottom w:val="double" w:sz="6" w:space="0" w:color="auto"/>
              <w:right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Достоинства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Недостатки</w:t>
            </w:r>
          </w:p>
        </w:tc>
      </w:tr>
      <w:tr w:rsidR="00E83DF4">
        <w:tc>
          <w:tcPr>
            <w:tcW w:w="3047" w:type="dxa"/>
            <w:tcBorders>
              <w:top w:val="nil"/>
              <w:bottom w:val="nil"/>
              <w:right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высокий КПД;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наличие дополнительных устройств;</w:t>
            </w:r>
          </w:p>
        </w:tc>
      </w:tr>
      <w:tr w:rsidR="00E83DF4">
        <w:tc>
          <w:tcPr>
            <w:tcW w:w="3047" w:type="dxa"/>
            <w:tcBorders>
              <w:top w:val="nil"/>
              <w:bottom w:val="nil"/>
              <w:right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экономичность;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грозкость;</w:t>
            </w:r>
          </w:p>
        </w:tc>
      </w:tr>
      <w:tr w:rsidR="00E83DF4">
        <w:tc>
          <w:tcPr>
            <w:tcW w:w="3047" w:type="dxa"/>
            <w:tcBorders>
              <w:top w:val="nil"/>
              <w:bottom w:val="nil"/>
              <w:right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свет, близкий к естественному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инерционность</w:t>
            </w:r>
          </w:p>
        </w:tc>
      </w:tr>
      <w:tr w:rsidR="00E83DF4">
        <w:tc>
          <w:tcPr>
            <w:tcW w:w="659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Лампы накаливания</w:t>
            </w:r>
          </w:p>
        </w:tc>
      </w:tr>
      <w:tr w:rsidR="00E83DF4">
        <w:tc>
          <w:tcPr>
            <w:tcW w:w="3047" w:type="dxa"/>
            <w:tcBorders>
              <w:top w:val="nil"/>
              <w:bottom w:val="nil"/>
              <w:right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не инерционные;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желтая область спектра;</w:t>
            </w:r>
          </w:p>
        </w:tc>
      </w:tr>
      <w:tr w:rsidR="00E83DF4">
        <w:tc>
          <w:tcPr>
            <w:tcW w:w="3047" w:type="dxa"/>
            <w:tcBorders>
              <w:top w:val="nil"/>
              <w:bottom w:val="nil"/>
              <w:right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компактные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малая светоотдача;</w:t>
            </w:r>
          </w:p>
        </w:tc>
      </w:tr>
      <w:tr w:rsidR="00E83DF4">
        <w:tc>
          <w:tcPr>
            <w:tcW w:w="304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E83DF4" w:rsidRDefault="00E83DF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</w:tcBorders>
          </w:tcPr>
          <w:p w:rsidR="00E83DF4" w:rsidRDefault="00D66D0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малый срок эксплуатации</w:t>
            </w:r>
          </w:p>
        </w:tc>
      </w:tr>
    </w:tbl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0" w:name="_Toc346258233"/>
      <w:bookmarkStart w:id="31" w:name="_Toc346268792"/>
      <w:bookmarkStart w:id="32" w:name="_Toc3893160"/>
      <w:r>
        <w:rPr>
          <w:color w:val="000000"/>
          <w:sz w:val="24"/>
          <w:szCs w:val="24"/>
        </w:rPr>
        <w:t>Приборы контроля</w:t>
      </w:r>
      <w:bookmarkEnd w:id="30"/>
      <w:bookmarkEnd w:id="31"/>
      <w:bookmarkEnd w:id="32"/>
    </w:p>
    <w:p w:rsidR="00E83DF4" w:rsidRDefault="00D66D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Люксметр Ю-16, Ю-116</w:t>
      </w:r>
    </w:p>
    <w:p w:rsidR="00E83DF4" w:rsidRDefault="00E83DF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33" w:name="_GoBack"/>
      <w:bookmarkEnd w:id="33"/>
    </w:p>
    <w:sectPr w:rsidR="00E83DF4">
      <w:pgSz w:w="11906" w:h="16838" w:code="1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T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50CDA"/>
    <w:multiLevelType w:val="multilevel"/>
    <w:tmpl w:val="7096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TimesNew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D0D"/>
    <w:rsid w:val="002A3AA7"/>
    <w:rsid w:val="00D66D0D"/>
    <w:rsid w:val="00E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B80A61F-7ED7-4AAA-A3E3-ADAF7332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0"/>
    <w:link w:val="10"/>
    <w:uiPriority w:val="99"/>
    <w:qFormat/>
    <w:pPr>
      <w:pageBreakBefore/>
      <w:suppressAutoHyphens/>
      <w:spacing w:before="120" w:after="120"/>
      <w:ind w:firstLine="425"/>
      <w:jc w:val="center"/>
      <w:outlineLvl w:val="0"/>
    </w:pPr>
    <w:rPr>
      <w:rFonts w:ascii="HeliosBlack" w:hAnsi="HeliosBlack" w:cs="HeliosBlack"/>
      <w:b/>
      <w:bCs/>
      <w:kern w:val="28"/>
      <w:sz w:val="36"/>
      <w:szCs w:val="36"/>
    </w:rPr>
  </w:style>
  <w:style w:type="paragraph" w:styleId="2">
    <w:name w:val="heading 2"/>
    <w:basedOn w:val="a"/>
    <w:next w:val="a0"/>
    <w:link w:val="20"/>
    <w:uiPriority w:val="99"/>
    <w:qFormat/>
    <w:pPr>
      <w:keepNext/>
      <w:spacing w:before="120" w:after="120"/>
      <w:outlineLvl w:val="1"/>
    </w:pPr>
    <w:rPr>
      <w:rFonts w:ascii="Helios" w:hAnsi="Helios" w:cs="Helios"/>
      <w:b/>
      <w:bCs/>
      <w:i/>
      <w:iCs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pPr>
      <w:keepNext/>
      <w:spacing w:before="60"/>
      <w:jc w:val="center"/>
      <w:outlineLvl w:val="2"/>
    </w:pPr>
    <w:rPr>
      <w:rFonts w:ascii="TimesET" w:hAnsi="TimesET" w:cs="TimesET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0">
    <w:name w:val="Plain Text"/>
    <w:basedOn w:val="a"/>
    <w:link w:val="a4"/>
    <w:uiPriority w:val="99"/>
    <w:pPr>
      <w:ind w:firstLine="426"/>
      <w:jc w:val="both"/>
    </w:pPr>
    <w:rPr>
      <w:rFonts w:ascii="TimesET" w:hAnsi="TimesET" w:cs="TimesET"/>
    </w:rPr>
  </w:style>
  <w:style w:type="character" w:customStyle="1" w:styleId="a4">
    <w:name w:val="Текст Знак"/>
    <w:basedOn w:val="a1"/>
    <w:link w:val="a0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macro"/>
    <w:link w:val="a6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TM" w:hAnsi="CourierTM" w:cs="CourierTM"/>
      <w:sz w:val="20"/>
      <w:szCs w:val="20"/>
    </w:rPr>
  </w:style>
  <w:style w:type="character" w:customStyle="1" w:styleId="a6">
    <w:name w:val="Текст макроса Знак"/>
    <w:basedOn w:val="a1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</w:pPr>
    <w:rPr>
      <w:rFonts w:ascii="Helios" w:hAnsi="Helios" w:cs="Helios"/>
      <w:b/>
      <w:bCs/>
      <w:kern w:val="28"/>
      <w:sz w:val="32"/>
      <w:szCs w:val="32"/>
    </w:rPr>
  </w:style>
  <w:style w:type="character" w:customStyle="1" w:styleId="a8">
    <w:name w:val="Название Знак"/>
    <w:basedOn w:val="a1"/>
    <w:link w:val="a7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a">
    <w:name w:val="Нижний колонтитул Знак"/>
    <w:basedOn w:val="a1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page number"/>
    <w:basedOn w:val="a1"/>
    <w:uiPriority w:val="99"/>
  </w:style>
  <w:style w:type="paragraph" w:styleId="ac">
    <w:name w:val="header"/>
    <w:basedOn w:val="a"/>
    <w:link w:val="ad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d">
    <w:name w:val="Верхний колонтитул Знак"/>
    <w:basedOn w:val="a1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uiPriority w:val="99"/>
    <w:pPr>
      <w:tabs>
        <w:tab w:val="right" w:leader="dot" w:pos="6690"/>
      </w:tabs>
      <w:spacing w:before="60"/>
      <w:ind w:right="454"/>
    </w:pPr>
    <w:rPr>
      <w:rFonts w:ascii="TimesET" w:hAnsi="TimesET" w:cs="TimesET"/>
      <w:b/>
      <w:bCs/>
    </w:rPr>
  </w:style>
  <w:style w:type="paragraph" w:styleId="21">
    <w:name w:val="toc 2"/>
    <w:basedOn w:val="a"/>
    <w:next w:val="a"/>
    <w:uiPriority w:val="99"/>
    <w:pPr>
      <w:tabs>
        <w:tab w:val="right" w:leader="dot" w:pos="6690"/>
      </w:tabs>
      <w:ind w:left="200" w:right="453"/>
    </w:pPr>
    <w:rPr>
      <w:rFonts w:ascii="TimesET" w:hAnsi="TimesET" w:cs="TimesET"/>
    </w:rPr>
  </w:style>
  <w:style w:type="paragraph" w:styleId="31">
    <w:name w:val="toc 3"/>
    <w:basedOn w:val="a"/>
    <w:next w:val="a"/>
    <w:uiPriority w:val="99"/>
    <w:pPr>
      <w:tabs>
        <w:tab w:val="right" w:leader="dot" w:pos="6690"/>
      </w:tabs>
      <w:ind w:left="400" w:right="453"/>
    </w:pPr>
    <w:rPr>
      <w:rFonts w:ascii="TimesET" w:hAnsi="TimesET" w:cs="TimesET"/>
      <w:i/>
      <w:iCs/>
    </w:rPr>
  </w:style>
  <w:style w:type="paragraph" w:styleId="4">
    <w:name w:val="toc 4"/>
    <w:basedOn w:val="a"/>
    <w:next w:val="a"/>
    <w:uiPriority w:val="99"/>
    <w:pPr>
      <w:tabs>
        <w:tab w:val="right" w:leader="dot" w:pos="6690"/>
      </w:tabs>
      <w:ind w:left="600"/>
    </w:pPr>
    <w:rPr>
      <w:rFonts w:ascii="TimesET" w:hAnsi="TimesET" w:cs="TimesET"/>
    </w:rPr>
  </w:style>
  <w:style w:type="paragraph" w:styleId="5">
    <w:name w:val="toc 5"/>
    <w:basedOn w:val="a"/>
    <w:next w:val="a"/>
    <w:uiPriority w:val="99"/>
    <w:pPr>
      <w:tabs>
        <w:tab w:val="right" w:leader="dot" w:pos="6690"/>
      </w:tabs>
      <w:ind w:left="800"/>
    </w:pPr>
    <w:rPr>
      <w:rFonts w:ascii="TimesET" w:hAnsi="TimesET" w:cs="TimesET"/>
    </w:rPr>
  </w:style>
  <w:style w:type="paragraph" w:styleId="6">
    <w:name w:val="toc 6"/>
    <w:basedOn w:val="a"/>
    <w:next w:val="a"/>
    <w:uiPriority w:val="99"/>
    <w:pPr>
      <w:tabs>
        <w:tab w:val="right" w:leader="dot" w:pos="6690"/>
      </w:tabs>
      <w:ind w:left="1000"/>
    </w:pPr>
    <w:rPr>
      <w:rFonts w:ascii="TimesET" w:hAnsi="TimesET" w:cs="TimesET"/>
    </w:rPr>
  </w:style>
  <w:style w:type="paragraph" w:styleId="7">
    <w:name w:val="toc 7"/>
    <w:basedOn w:val="a"/>
    <w:next w:val="a"/>
    <w:uiPriority w:val="99"/>
    <w:pPr>
      <w:tabs>
        <w:tab w:val="right" w:leader="dot" w:pos="6690"/>
      </w:tabs>
      <w:ind w:left="1200"/>
    </w:pPr>
    <w:rPr>
      <w:rFonts w:ascii="TimesET" w:hAnsi="TimesET" w:cs="TimesET"/>
    </w:rPr>
  </w:style>
  <w:style w:type="paragraph" w:styleId="8">
    <w:name w:val="toc 8"/>
    <w:basedOn w:val="a"/>
    <w:next w:val="a"/>
    <w:uiPriority w:val="99"/>
    <w:pPr>
      <w:tabs>
        <w:tab w:val="right" w:leader="dot" w:pos="6690"/>
      </w:tabs>
      <w:ind w:left="1400"/>
    </w:pPr>
    <w:rPr>
      <w:rFonts w:ascii="TimesET" w:hAnsi="TimesET" w:cs="TimesET"/>
    </w:rPr>
  </w:style>
  <w:style w:type="paragraph" w:styleId="9">
    <w:name w:val="toc 9"/>
    <w:basedOn w:val="a"/>
    <w:next w:val="a"/>
    <w:uiPriority w:val="99"/>
    <w:pPr>
      <w:tabs>
        <w:tab w:val="right" w:leader="dot" w:pos="6690"/>
      </w:tabs>
      <w:ind w:left="1600"/>
    </w:pPr>
    <w:rPr>
      <w:rFonts w:ascii="TimesET" w:hAnsi="TimesET" w:cs="TimesET"/>
    </w:rPr>
  </w:style>
  <w:style w:type="paragraph" w:customStyle="1" w:styleId="1TimesNewRoman">
    <w:name w:val="Стиль Заголовок 1 + Times New Roman"/>
    <w:basedOn w:val="1"/>
    <w:uiPriority w:val="99"/>
    <w:pPr>
      <w:pageBreakBefore w:val="0"/>
      <w:spacing w:after="0"/>
      <w:ind w:firstLine="0"/>
    </w:pPr>
    <w:rPr>
      <w:rFonts w:ascii="Times New Roman" w:hAnsi="Times New Roman" w:cs="Times New Roman"/>
    </w:rPr>
  </w:style>
  <w:style w:type="paragraph" w:customStyle="1" w:styleId="2TimesNewRoman">
    <w:name w:val="Стиль Заголовок 2 + Times New Roman"/>
    <w:basedOn w:val="2"/>
    <w:uiPriority w:val="99"/>
    <w:pPr>
      <w:jc w:val="center"/>
    </w:pPr>
    <w:rPr>
      <w:rFonts w:ascii="Times New Roman" w:hAnsi="Times New Roman" w:cs="Times New Roman"/>
    </w:rPr>
  </w:style>
  <w:style w:type="character" w:customStyle="1" w:styleId="2TimesNewRoman0">
    <w:name w:val="Стиль Заголовок 2 + Times New Roman Знак"/>
    <w:basedOn w:val="20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paragraph" w:customStyle="1" w:styleId="3TimesNewRoman">
    <w:name w:val="Стиль Заголовок 3 + Times New Roman"/>
    <w:basedOn w:val="3"/>
    <w:uiPriority w:val="99"/>
    <w:pPr>
      <w:numPr>
        <w:ilvl w:val="2"/>
        <w:numId w:val="1"/>
      </w:numPr>
    </w:pPr>
    <w:rPr>
      <w:rFonts w:ascii="Times New Roman" w:hAnsi="Times New Roman" w:cs="Times New Roman"/>
    </w:rPr>
  </w:style>
  <w:style w:type="character" w:styleId="ae">
    <w:name w:val="Hyperlink"/>
    <w:basedOn w:val="a1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4154</Characters>
  <Application>Microsoft Office Word</Application>
  <DocSecurity>0</DocSecurity>
  <Lines>34</Lines>
  <Paragraphs>9</Paragraphs>
  <ScaleCrop>false</ScaleCrop>
  <Company>PERSONAL COMPUTERS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Производственное освещение</dc:title>
  <dc:subject/>
  <dc:creator>USER</dc:creator>
  <cp:keywords/>
  <dc:description/>
  <cp:lastModifiedBy>admin</cp:lastModifiedBy>
  <cp:revision>2</cp:revision>
  <dcterms:created xsi:type="dcterms:W3CDTF">2014-02-19T09:09:00Z</dcterms:created>
  <dcterms:modified xsi:type="dcterms:W3CDTF">2014-02-19T09:09:00Z</dcterms:modified>
</cp:coreProperties>
</file>