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28" w:rsidRPr="001F2903" w:rsidRDefault="00C20C28" w:rsidP="00C20C28">
      <w:pPr>
        <w:spacing w:before="120"/>
        <w:jc w:val="center"/>
        <w:rPr>
          <w:b/>
          <w:bCs/>
          <w:sz w:val="32"/>
          <w:szCs w:val="32"/>
        </w:rPr>
      </w:pPr>
      <w:r w:rsidRPr="001F2903">
        <w:rPr>
          <w:b/>
          <w:bCs/>
          <w:sz w:val="32"/>
          <w:szCs w:val="32"/>
        </w:rPr>
        <w:t>Сорбционные свойства композитов на основе терморасширенных графитов</w:t>
      </w:r>
    </w:p>
    <w:p w:rsidR="00C20C28" w:rsidRPr="001F2903" w:rsidRDefault="00C20C28" w:rsidP="00C20C28">
      <w:pPr>
        <w:spacing w:before="120"/>
        <w:jc w:val="center"/>
        <w:rPr>
          <w:sz w:val="28"/>
          <w:szCs w:val="28"/>
        </w:rPr>
      </w:pPr>
      <w:r w:rsidRPr="001F2903">
        <w:rPr>
          <w:sz w:val="28"/>
          <w:szCs w:val="28"/>
        </w:rPr>
        <w:t>Н. В. Чесноков, Б. Н. Кузнецов, Н. М. Микова, В. А. Дроздов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Наиболее масштабные перспективы использования водорода в энергетике связаны с двумя областями — водородными топливными элементами и двигателями внутреннего сгорания. Использование водорода в качестве альтернативы жидкому топливу требует решения задачи его компактного хранения, а для эффективной работы электродов топливных элементов нужны новые материалы с заданным комплексом свойств.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В последние годы активно ведутся исследования по разработке систем хранения водорода, использующих нанопористые углеродные материалы, такие как углеродные нановолокна и нанотрубки, фуллерены [1, 2]. Имеющиеся литературные данные о способности пористых углеродных материалов (ПУМ) аккумулировать водород достаточно противоречивы. Тем не менее, очевидно, что для достижения хороших показателей по водородной емкости ПУМ должны обладать развитой микропористостью [3]. Поскольку масштабы использования ПУМ во многом ограничиваются их достаточно высокой стоимостью, весьма актуальны исследования, направленные на разработку новых принципов и методов получения ПУМ с заданной структурой и пористостью из дешевого природного сырья, например из природных графитов.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Уникальным свойством некоторых соединений ин-теркалирования графита (СИГ) является их способность в десятки и сотни раз увеличиваться в объеме при нагревании с образованием терморасширенного графита (ТРГ). Благодаря своей химической инертности, термостойкости, упругопластическим свойствам ТРГ используются в производстве различных углеродных изделий. Однако до сих пор недостаточно исследованы их пористая структура и адсорбционные свойства.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Ранее было показано, что ТРГ имеют развитую микропористую структуру, представленную порами с размерами меньше 1,0 нм [4]. При условии формирования в ТРГ нанопор их можно рассматривать в качестве перспективных материалов для водородо-адсорб-ционных систем.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В работе представлены данные по исследованию текстурных характеристик и адсорбционных свойств в отношении водорода терморасширенных природных графитов и нанокомпозитов палладий/терморасширенный графит.</w:t>
      </w:r>
    </w:p>
    <w:p w:rsidR="00C20C28" w:rsidRPr="001F2903" w:rsidRDefault="00C20C28" w:rsidP="00C20C28">
      <w:pPr>
        <w:spacing w:before="120"/>
        <w:jc w:val="center"/>
        <w:rPr>
          <w:b/>
          <w:bCs/>
          <w:sz w:val="28"/>
          <w:szCs w:val="28"/>
        </w:rPr>
      </w:pPr>
      <w:r w:rsidRPr="001F2903">
        <w:rPr>
          <w:b/>
          <w:bCs/>
          <w:sz w:val="28"/>
          <w:szCs w:val="28"/>
        </w:rPr>
        <w:t>Получение и исследование терморасширенного графита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В качестве объектов исследования использовались два типа ТРГ, полученных термообработкой (терморасширение) интеркалированых графитов в стационарном реакторе при температуре 1173 К, время термообработки составляло 30 с. Образцы ТРГ-1 получены термообработкой природного графита Завальевско-го месторождения (Украина), интеркалированного азотной и ледяной уксусной кислотами, а образцы ТРГ-2 термообработкой того же графита, интеркалированного азотной кислотой.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Палладий содержащие образцы готовили пропиткой ТРГ водно-спиртовым раствором H2PdCl4. Содержание палладия во всех катализаторах составляло около 1%(масс.).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Данные о текстурных характеристиках образцов ТРГ получены из анализа изотерм адсорбции N2 (77 К) и СО2 (273 К). Адсорбционные измерения проводили на объемной вакуумной статической автоматизированной установке «Sorptomatic-1900». Изотермы адсорбции азота измеряли в интервале относительных давлений паров 10~3—0,999 при 77 К. Изотермы адсорбции диоксида углерода сняты при 273 К в области относительных давлений адсорбтива 4 • 10~5—0,03.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Таким образом, изотерма адсорбции азота измерена для всех областей Р/Р$, где может протекать адсорбция в микропорах, мезопорах и на внешней поверхности, включая область полимолекулярной адсорбции и капиллярно-конденсационного гистерезиса в мезопорах. Изотерма адсорбции СО2 в области Р/Р$ 10~5—10~2 соответствует адсорбции лишь в микропорах [5, 6].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Измерения адсорбции водорода проводили на объемной вакуумной статической установке «Sorpto-matic-1900». Измерения проводили в интервале абсолютных давлений водорода 1—1000 торр при температуре 77, 303 и 373 К. На одной навеске адсорбента в одной и той же измерительной бюретке проводили всю серию измерений, начиная с температуры адсорбции 77 К, затем 303 К и 373 К, после чего возвращались к первоначальной температуре.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Все образцы перед адсорбционными измерениями (азот, диоксид углерода, водород) проходили стандартную тренировку в вакууме при 573 К до остаточного давления ниже 1 Па в течение 24 часов перед каждым измерением адсорбции.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Изотермы адсорбции N2 при 77 К имеют обратимый характер и их форма соответствует монослойной-многослойной адсорбции на непористых или макропористых твердых телах (П-тип изотерм физической адсорбции по классификации BDDT). Изотермы не имеют насыщения в области относительно высоких давлений (Р/Рд —&gt; 1), что затрудняет определение суммарного адсорбционного объема пор. Поэтому измерения проводились при P/PQ = 0,996. Полученные результаты представлены в таблице 1.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Исследованные образцы (табл. 1) различаются по удельной поверхности (&gt;$БЭТ) и пористости. Известно [7], что некоторые микропоры недоступны для адсорбции молекул N2 при 77 К из-за диффузионных ограничений. Однако молекулы СО2 могут проникать в такие поры при определенных условиях проведения адсорбционного процесса (температура 273—298 К, Р/Р0 &lt; 0,03).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Детальное исследование микропористости образцов терморасширенного графита было проведено по адсорбции СО2 при 273 К (табл. 1). Наиболее развитая микропористая структура наблюдается для образца ТРГ-1, который также имеет наибольшее значение суммарного адсорбционного объема пор (J^ds)-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Высокие значения поверхности микропор (&gt;Smicro), рассчитанные по данным адсорбции СО2 при 273 К, существенно более низких значениях поверхности по БЭТ, рассчитанной из адсорбции азота, указывают на наличие в исследуемых образцах большого количества ультрамикропор (менее 0,6—0,7 нм), недоступных молекуле азота при 77 К из-за диффузионных ограничений. Этот факт описан в [7] и принимается во внимание при сопоставлении результатов адсорбции двух адсорбтивов.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На рис. 1, 2 приведены изотермы адсорбции водорода при 303 и 373 К на исходных образцах терморасширенного графита ТРГ-1 и ТРГ-2 и после нанесения на них палладия. Все изотермы имеют линейный характер, следовательно, в данной области давлений и температур адсорбция водорода протекает в области Генри. Отметим, что изотермы адсорбции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Таблица 1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Текстурные характеристики образцов терморасширенного графита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6"/>
        <w:gridCol w:w="1056"/>
        <w:gridCol w:w="797"/>
      </w:tblGrid>
      <w:tr w:rsidR="00C20C28" w:rsidRPr="00B22AA7" w:rsidTr="00F96565">
        <w:trPr>
          <w:trHeight w:val="278"/>
        </w:trPr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Характеристика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ТРГ-1</w:t>
            </w:r>
          </w:p>
        </w:tc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ТРГ-2</w:t>
            </w:r>
          </w:p>
        </w:tc>
      </w:tr>
      <w:tr w:rsidR="00C20C28" w:rsidRPr="00B22AA7" w:rsidTr="00F96565">
        <w:trPr>
          <w:trHeight w:val="326"/>
        </w:trPr>
        <w:tc>
          <w:tcPr>
            <w:tcW w:w="434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Адсорбция</w:t>
            </w:r>
            <w:r>
              <w:t xml:space="preserve"> </w:t>
            </w:r>
            <w:r w:rsidRPr="00B22AA7">
              <w:t>азота,</w:t>
            </w:r>
            <w:r>
              <w:t xml:space="preserve"> </w:t>
            </w:r>
            <w:r w:rsidRPr="00B22AA7">
              <w:t>77</w:t>
            </w:r>
            <w:r>
              <w:t xml:space="preserve"> </w:t>
            </w:r>
            <w:r w:rsidRPr="00B22AA7">
              <w:t>К</w:t>
            </w:r>
          </w:p>
        </w:tc>
      </w:tr>
      <w:tr w:rsidR="00C20C28" w:rsidRPr="00B22AA7" w:rsidTr="00F96565">
        <w:trPr>
          <w:trHeight w:val="28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^БЭТ, м2/г (Р/Ро = 0,005-0,2)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33,3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12,3</w:t>
            </w:r>
          </w:p>
        </w:tc>
      </w:tr>
      <w:tr w:rsidR="00C20C28" w:rsidRPr="00B22AA7" w:rsidTr="00F96565">
        <w:trPr>
          <w:trHeight w:val="27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Fads, см3/г (Р/Р0 = 0,996)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0,138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0,083</w:t>
            </w:r>
          </w:p>
        </w:tc>
      </w:tr>
      <w:tr w:rsidR="00C20C28" w:rsidRPr="00B22AA7" w:rsidTr="00F96565">
        <w:trPr>
          <w:trHeight w:val="259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fifnop, нм (4Fads/5B3T)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16,6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27,0</w:t>
            </w:r>
          </w:p>
        </w:tc>
      </w:tr>
      <w:tr w:rsidR="00C20C28" w:rsidRPr="00B22AA7" w:rsidTr="00F96565">
        <w:trPr>
          <w:trHeight w:val="307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^nucro) см /г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0,013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0,006</w:t>
            </w:r>
          </w:p>
        </w:tc>
      </w:tr>
      <w:tr w:rsidR="00C20C28" w:rsidRPr="00B22AA7" w:rsidTr="00F96565">
        <w:trPr>
          <w:trHeight w:val="28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Адсорбция</w:t>
            </w:r>
            <w:r>
              <w:t xml:space="preserve"> </w:t>
            </w:r>
            <w:r w:rsidRPr="00B22AA7">
              <w:t>диоксида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углерода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,273</w:t>
            </w:r>
            <w:r>
              <w:t xml:space="preserve"> </w:t>
            </w:r>
            <w:r w:rsidRPr="00B22AA7">
              <w:t>К</w:t>
            </w:r>
          </w:p>
        </w:tc>
      </w:tr>
      <w:tr w:rsidR="00C20C28" w:rsidRPr="00B22AA7" w:rsidTr="00F96565">
        <w:trPr>
          <w:trHeight w:val="307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^micro) M /Г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521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300</w:t>
            </w:r>
          </w:p>
        </w:tc>
      </w:tr>
      <w:tr w:rsidR="00C20C28" w:rsidRPr="00B22AA7" w:rsidTr="00F96565">
        <w:trPr>
          <w:trHeight w:val="269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EQ, кДж/моль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23,2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23,7</w:t>
            </w:r>
          </w:p>
        </w:tc>
      </w:tr>
      <w:tr w:rsidR="00C20C28" w:rsidRPr="00B22AA7" w:rsidTr="00F96565">
        <w:trPr>
          <w:trHeight w:val="250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"тек» нм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0,92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0,88</w:t>
            </w:r>
          </w:p>
        </w:tc>
      </w:tr>
      <w:tr w:rsidR="00C20C28" w:rsidRPr="00B22AA7" w:rsidTr="00F96565">
        <w:trPr>
          <w:trHeight w:val="259"/>
        </w:trPr>
        <w:tc>
          <w:tcPr>
            <w:tcW w:w="249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'тек» см /г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0,199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0,114</w:t>
            </w:r>
          </w:p>
        </w:tc>
      </w:tr>
    </w:tbl>
    <w:p w:rsidR="00C20C28" w:rsidRPr="00B22AA7" w:rsidRDefault="00C20C28" w:rsidP="00C20C28">
      <w:pPr>
        <w:spacing w:before="120"/>
        <w:ind w:firstLine="567"/>
        <w:jc w:val="both"/>
      </w:pPr>
      <w:r w:rsidRPr="00B22AA7">
        <w:t>водорода на образцах ТРГ-1 и ТРГ-2 полностью обратимы во всем исследованном интервале давлений (50—900 торр). С увеличением температуры адсорбции от 303 К до 373 К величина адсорбции водорода на образце ТРГ-1 снижается, что также указывает на равновесный характер адсорбции газа (рис. 1, кривые 7 и 2). Для образцов Pd/ТРГ температура адсорбции 303 К или 373 К мало влияет на количество адсорбированного водорода (рис. 1, 2), что скорее всего связано с более сложным характером адсорбции водорода в этих системах: физическая адсорбция водорода на графите и хемосорбция на палладии. К сожалению, разделить эти формы адсорбции (обратимая-необратимая, слабосвязанная—прочносвязанная) не удалось.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Известно,</w:t>
      </w:r>
      <w:r>
        <w:t xml:space="preserve"> </w:t>
      </w:r>
      <w:r w:rsidRPr="00B22AA7">
        <w:t>что</w:t>
      </w:r>
      <w:r>
        <w:t xml:space="preserve"> </w:t>
      </w:r>
      <w:r w:rsidRPr="00B22AA7">
        <w:t>адсорбция</w:t>
      </w:r>
      <w:r>
        <w:t xml:space="preserve"> </w:t>
      </w:r>
      <w:r w:rsidRPr="00B22AA7">
        <w:t>газов</w:t>
      </w:r>
      <w:r>
        <w:t xml:space="preserve"> </w:t>
      </w:r>
      <w:r w:rsidRPr="00B22AA7">
        <w:t>на</w:t>
      </w:r>
      <w:r>
        <w:t xml:space="preserve"> </w:t>
      </w:r>
      <w:r w:rsidRPr="00B22AA7">
        <w:t>микро-мезо-пористых образцах при</w:t>
      </w:r>
      <w:r>
        <w:t xml:space="preserve"> </w:t>
      </w:r>
      <w:r w:rsidRPr="00B22AA7">
        <w:t>температурах, существенно</w:t>
      </w:r>
      <w:r>
        <w:t xml:space="preserve"> </w:t>
      </w:r>
      <w:r w:rsidRPr="00B22AA7">
        <w:t>превышающих критическую (для водорода это 33 К), в первую очередь определяется увеличением плотности адсорбированных слоев во всем доступном для адсор-бата объеме [8]. Наличие в образце большего числа микропор и, прежде всего, ультрамикропор должно увеличивать адсорбцию водорода за счет увеличения адсорбционного потенциала, который сильно зависит не только от природы адсорбата и адсорбента, но и от размера и формы пор. Таким образом, для адсорбентов с большим адсорбционным взаимодействием должна быть выше крутизна изотерм. Предельные величины равновесной адсорбции при высоких давлениях (до 20—30 тыс. атм) будут определяться объемом микро- и даже мезопор.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Для образцов ТРГ видно (рис. 1, 2), что линейные изотермы в исследуемом интервале давлений практически совпадают, следовательно, константа Генри одинаковая (адсорбционное взаимодействие близкое). Отметим, что хотя эти образцы отличаются по удельной поверхности, суммарному объему пор и объему</w:t>
      </w:r>
      <w:r>
        <w:t xml:space="preserve"> м</w:t>
      </w:r>
      <w:r w:rsidRPr="00B22AA7">
        <w:t>икропор</w:t>
      </w:r>
      <w:r>
        <w:t xml:space="preserve"> </w:t>
      </w:r>
      <w:r w:rsidRPr="00B22AA7">
        <w:t>(Pmicro), доля тонких микропор в них обоих</w:t>
      </w:r>
      <w:r>
        <w:t xml:space="preserve"> </w:t>
      </w:r>
      <w:r w:rsidRPr="00B22AA7">
        <w:t>высока, и по оценке средние размеры микропор (W^micro) близки (0,88 и 0,92 нм). Природа и структура микропор, по-видимому одинакова, что определяет сходство образцов в адсорбционном взаимодействии с водородом.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Палладийсодержащие образцы адсорбируют существенно меньше водорода, чем чистые терморасширенные графиты (рис. 1, 2). Адсорбция водорода между ними также отличается, но в гораздо меньшей степени, хотя образец Рё/ТРГ-1 обладает несколько большей адсорбционной способностью, чем образец Pd/TPF-2 (рис. 1, 2). По данным метода БЭТ образцы имеют близкую поверхность, существенно меньшую, чем у исходных ТРГ, которая составляет примерно 14 м2/г. Можно полагать, что в ходе нанесения палладия произошли изменения текстурных характеристик терморасширенного графита, которые привели к уменьшению доли наиболее активных адсорбционных центров (ультрамикропор, дефектов и др.) и к снижению предельных величин адсорбции водорода.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В табл. 2 представлены данные по адсорбции водорода при 77 К на исследуемых образцах, приведенные к нормальным условиям. Там же для сопоставления приведены литературные данные [9] об адсорбции водорода на разных активных углях.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Видно, что адсорбция водорода при соответствующих давлениях ниже для исследуемых образцов, чем для активных углей, обладающих развитой пористой структурой (прежде всего, за счет наличия микропор) и удельной поверхностью. Если оценить величину адсорбции водорода на единицу поверхности или на единицу объема микропор (пор), то в первом случае величина адсорбции (см3/м2) будет больше для исследуемых образцов, чем для некоторых угольных образцов, но на единицу объема микропор (см3/см3микропор) все-таки наблюдается существенный проигрыш. Не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Таблица 2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Адсорбция водорода (77 К) при равновесных давлениях образцами различного состава и структуры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28"/>
        <w:gridCol w:w="730"/>
        <w:gridCol w:w="710"/>
        <w:gridCol w:w="710"/>
        <w:gridCol w:w="739"/>
        <w:gridCol w:w="701"/>
        <w:gridCol w:w="710"/>
        <w:gridCol w:w="710"/>
        <w:gridCol w:w="710"/>
        <w:gridCol w:w="653"/>
      </w:tblGrid>
      <w:tr w:rsidR="00C20C28" w:rsidRPr="00B22AA7" w:rsidTr="00F96565">
        <w:trPr>
          <w:trHeight w:val="259"/>
        </w:trPr>
        <w:tc>
          <w:tcPr>
            <w:tcW w:w="2928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Образец</w:t>
            </w:r>
          </w:p>
        </w:tc>
        <w:tc>
          <w:tcPr>
            <w:tcW w:w="637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Адсорбция водорода, см3/г</w:t>
            </w:r>
          </w:p>
        </w:tc>
      </w:tr>
      <w:tr w:rsidR="00C20C28" w:rsidRPr="00B22AA7" w:rsidTr="00F96565">
        <w:trPr>
          <w:trHeight w:val="547"/>
        </w:trPr>
        <w:tc>
          <w:tcPr>
            <w:tcW w:w="2928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/>
          <w:p w:rsidR="00C20C28" w:rsidRPr="00B22AA7" w:rsidRDefault="00C20C28" w:rsidP="00F96565"/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50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100</w:t>
            </w:r>
          </w:p>
        </w:tc>
        <w:tc>
          <w:tcPr>
            <w:tcW w:w="28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Равновесное давление, торр 200</w:t>
            </w:r>
            <w:r>
              <w:t xml:space="preserve"> </w:t>
            </w:r>
            <w:r w:rsidRPr="00B22AA7">
              <w:t>300</w:t>
            </w:r>
            <w:r>
              <w:t xml:space="preserve"> </w:t>
            </w:r>
            <w:r w:rsidRPr="00B22AA7">
              <w:t>400</w:t>
            </w:r>
            <w:r>
              <w:t xml:space="preserve"> </w:t>
            </w:r>
            <w:r w:rsidRPr="00B22AA7">
              <w:t>500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600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700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20C28" w:rsidRPr="00B22AA7" w:rsidRDefault="00C20C28" w:rsidP="00F96565">
            <w:r w:rsidRPr="00B22AA7">
              <w:t>800</w:t>
            </w:r>
          </w:p>
        </w:tc>
      </w:tr>
      <w:tr w:rsidR="00C20C28" w:rsidRPr="00B22AA7" w:rsidTr="00F96565">
        <w:trPr>
          <w:trHeight w:val="269"/>
        </w:trPr>
        <w:tc>
          <w:tcPr>
            <w:tcW w:w="29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ТРГ-1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2,2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3,4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6,0</w:t>
            </w:r>
          </w:p>
        </w:tc>
        <w:tc>
          <w:tcPr>
            <w:tcW w:w="7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11,0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15,0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21,0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24,0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26,0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28,0</w:t>
            </w:r>
          </w:p>
        </w:tc>
      </w:tr>
      <w:tr w:rsidR="00C20C28" w:rsidRPr="00B22AA7" w:rsidTr="00F96565">
        <w:trPr>
          <w:trHeight w:val="269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ТРГ-2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1,7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1,9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2,4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3,8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5,6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7,5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10,0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11,3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12,3</w:t>
            </w:r>
          </w:p>
        </w:tc>
      </w:tr>
      <w:tr w:rsidR="00C20C28" w:rsidRPr="00B22AA7" w:rsidTr="00F96565">
        <w:trPr>
          <w:trHeight w:val="288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l%Pd/TPr-l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2.4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2,6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3,3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3,9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4,8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5,9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6,7</w:t>
            </w:r>
          </w:p>
        </w:tc>
      </w:tr>
      <w:tr w:rsidR="00C20C28" w:rsidRPr="00B22AA7" w:rsidTr="00F96565">
        <w:trPr>
          <w:trHeight w:val="269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l%Pd/TPr-2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1,0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1,2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2,0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2,2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3,0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3,1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3,4</w:t>
            </w:r>
          </w:p>
        </w:tc>
      </w:tr>
      <w:tr w:rsidR="00C20C28" w:rsidRPr="00B22AA7" w:rsidTr="00F96565">
        <w:trPr>
          <w:trHeight w:val="643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Активированный уголь СКН [9]</w:t>
            </w:r>
          </w:p>
          <w:p w:rsidR="00C20C28" w:rsidRPr="00B22AA7" w:rsidRDefault="00C20C28" w:rsidP="00F96565">
            <w:r w:rsidRPr="00B22AA7">
              <w:t>(Vmi = 0,34 см3/г, Vme = 0,57 см3/г, S = 606 м2/г)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75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150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165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170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180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200</w:t>
            </w:r>
          </w:p>
        </w:tc>
      </w:tr>
      <w:tr w:rsidR="00C20C28" w:rsidRPr="00B22AA7" w:rsidTr="00F96565">
        <w:trPr>
          <w:trHeight w:val="643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Активированный уголь Shell [9]</w:t>
            </w:r>
          </w:p>
          <w:p w:rsidR="00C20C28" w:rsidRPr="00B22AA7" w:rsidRDefault="00C20C28" w:rsidP="00F96565">
            <w:r w:rsidRPr="00B22AA7">
              <w:t>(Vmi = 0,37 см3/г, Vme = 0,05 см3/г, S = 153 м2/г)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125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165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172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175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180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190</w:t>
            </w:r>
          </w:p>
        </w:tc>
      </w:tr>
      <w:tr w:rsidR="00C20C28" w:rsidRPr="00B22AA7" w:rsidTr="00F96565">
        <w:trPr>
          <w:trHeight w:val="691"/>
        </w:trPr>
        <w:tc>
          <w:tcPr>
            <w:tcW w:w="29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Активированный уголь Norit PK 1-3 [9] (Vmi = 0,18 см3/г, Vme = 0,29 см3/г, S = 257 м2/г)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106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120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123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132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138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145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148</w:t>
            </w:r>
          </w:p>
        </w:tc>
      </w:tr>
    </w:tbl>
    <w:p w:rsidR="00C20C28" w:rsidRPr="00B22AA7" w:rsidRDefault="00C20C28" w:rsidP="00C20C28">
      <w:pPr>
        <w:spacing w:before="120"/>
        <w:ind w:firstLine="567"/>
        <w:jc w:val="both"/>
      </w:pPr>
      <w:r w:rsidRPr="00B22AA7">
        <w:t>Таблица 3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Текстурные параметры различных ПУМ и величины адсорбции водорода при 77 К и 1 атм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0"/>
        <w:gridCol w:w="1123"/>
        <w:gridCol w:w="1536"/>
        <w:gridCol w:w="1728"/>
        <w:gridCol w:w="1238"/>
        <w:gridCol w:w="1114"/>
        <w:gridCol w:w="1498"/>
      </w:tblGrid>
      <w:tr w:rsidR="00C20C28" w:rsidRPr="00B22AA7" w:rsidTr="00F96565">
        <w:trPr>
          <w:trHeight w:val="326"/>
        </w:trPr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Образец</w:t>
            </w: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ЯБЭТ, м2/г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Knicro (N2), СМ3Д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^micro (C02) СМ3Д</w:t>
            </w: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"micro» HM</w:t>
            </w:r>
          </w:p>
        </w:tc>
        <w:tc>
          <w:tcPr>
            <w:tcW w:w="11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Кн2, см3Д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Н2/г, %(масс.)</w:t>
            </w:r>
          </w:p>
        </w:tc>
      </w:tr>
      <w:tr w:rsidR="00C20C28" w:rsidRPr="00B22AA7" w:rsidTr="00F96565">
        <w:trPr>
          <w:trHeight w:val="269"/>
        </w:trPr>
        <w:tc>
          <w:tcPr>
            <w:tcW w:w="19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ТРГ-1</w:t>
            </w: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33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0,013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0,199</w:t>
            </w: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0,95</w:t>
            </w:r>
          </w:p>
        </w:tc>
        <w:tc>
          <w:tcPr>
            <w:tcW w:w="11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28,0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0,25</w:t>
            </w:r>
          </w:p>
        </w:tc>
      </w:tr>
      <w:tr w:rsidR="00C20C28" w:rsidRPr="00B22AA7" w:rsidTr="00F96565">
        <w:trPr>
          <w:trHeight w:val="259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ТРГ-2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0,006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0,114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0,88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12,3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0,11</w:t>
            </w:r>
          </w:p>
        </w:tc>
      </w:tr>
      <w:tr w:rsidR="00C20C28" w:rsidRPr="00B22AA7" w:rsidTr="00F96565">
        <w:trPr>
          <w:trHeight w:val="278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ТРГ-3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39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0,014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нет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0,92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7,9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0,07</w:t>
            </w:r>
          </w:p>
        </w:tc>
      </w:tr>
      <w:tr w:rsidR="00C20C28" w:rsidRPr="00B22AA7" w:rsidTr="00F96565">
        <w:trPr>
          <w:trHeight w:val="259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ТРГ-4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41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&lt; 0,005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нет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1,51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4,1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C20C28" w:rsidRPr="00B22AA7" w:rsidRDefault="00C20C28" w:rsidP="00F96565">
            <w:r w:rsidRPr="00B22AA7">
              <w:t>0,04</w:t>
            </w:r>
          </w:p>
        </w:tc>
      </w:tr>
      <w:tr w:rsidR="00C20C28" w:rsidRPr="00B22AA7" w:rsidTr="00F96565">
        <w:trPr>
          <w:trHeight w:val="384"/>
        </w:trPr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Углеродное волокно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0,417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0,245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0,75-0,90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175,0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0C28" w:rsidRPr="00B22AA7" w:rsidRDefault="00C20C28" w:rsidP="00F96565">
            <w:r w:rsidRPr="00B22AA7">
              <w:t>1,56</w:t>
            </w:r>
          </w:p>
        </w:tc>
      </w:tr>
    </w:tbl>
    <w:p w:rsidR="00C20C28" w:rsidRPr="00B22AA7" w:rsidRDefault="00C20C28" w:rsidP="00C20C28">
      <w:pPr>
        <w:spacing w:before="120"/>
        <w:ind w:firstLine="567"/>
        <w:jc w:val="both"/>
      </w:pPr>
      <w:r w:rsidRPr="00B22AA7">
        <w:t>Объем микропор с размером меньше 1 нм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исключено, что при низкотемпературной адсорбции на исследованных образцах, содержащих очень узкие микропоры с объемом примерно 0,11—0,19 см3/г, сказывается эффект диффузии молекул водорода (и азота для микропор с размерами ниже 0,7 нм), несмотря на то, что температура адсорбции 77 К превышает критическую температуру.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Проведено сопоставление данных по адсорбции водорода при 77 К с текстурными характеристиками исследованных ПУМ (табл. 3). Для сравнения приведены данные для образцов терморасширенных графитов, в которых по результатам адсорбции СО2 микропоры с размерами менее 1 нм не обнаружены (ТРГ-3, ТРГ-4) и пористом углеродном волокне, имеющим больший объем микропор по сравнению с образцами ТРГ-1 и ТРГ-2.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В результате проведенных исследований показано, что величина адсорбции водорода зависит от количества микропор. При этом наибольшее значение имеет количество ульрамикропор (&lt; 1 нм), характеристики которых можно определить по адсорбции СО2 при 273 К.</w:t>
      </w:r>
    </w:p>
    <w:p w:rsidR="00C20C28" w:rsidRPr="001F2903" w:rsidRDefault="00C20C28" w:rsidP="00C20C28">
      <w:pPr>
        <w:spacing w:before="120"/>
        <w:jc w:val="center"/>
        <w:rPr>
          <w:b/>
          <w:bCs/>
          <w:sz w:val="28"/>
          <w:szCs w:val="28"/>
        </w:rPr>
      </w:pPr>
      <w:r w:rsidRPr="001F2903">
        <w:rPr>
          <w:b/>
          <w:bCs/>
          <w:sz w:val="28"/>
          <w:szCs w:val="28"/>
        </w:rPr>
        <w:t>Список литературы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1.</w:t>
      </w:r>
      <w:r>
        <w:t xml:space="preserve"> </w:t>
      </w:r>
      <w:r w:rsidRPr="00B22AA7">
        <w:t>Тарасов Б.П.,</w:t>
      </w:r>
      <w:r>
        <w:t xml:space="preserve"> </w:t>
      </w:r>
      <w:r w:rsidRPr="00B22AA7">
        <w:t>Гольдшлегер Н.Ф.,</w:t>
      </w:r>
      <w:r>
        <w:t xml:space="preserve"> </w:t>
      </w:r>
      <w:r w:rsidRPr="00B22AA7">
        <w:t>Моравский А.П. Успехи химии, 2001, т. 70, с. 149—166.</w:t>
      </w:r>
    </w:p>
    <w:p w:rsidR="00C20C28" w:rsidRPr="00C72500" w:rsidRDefault="00C20C28" w:rsidP="00C20C28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2. Dillon A.C., Heben M.J. Appl. Phys. A, 2001, v. 72, p. 133-142.</w:t>
      </w:r>
    </w:p>
    <w:p w:rsidR="00C20C28" w:rsidRPr="00C72500" w:rsidRDefault="00C20C28" w:rsidP="00C20C28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3. Texier-Mandoki N., Dentzer J., Piquero T. e. a. Carbon, 2001,</w:t>
      </w:r>
      <w:r>
        <w:rPr>
          <w:lang w:val="en-US"/>
        </w:rPr>
        <w:t xml:space="preserve"> </w:t>
      </w:r>
      <w:r w:rsidRPr="00C72500">
        <w:rPr>
          <w:lang w:val="en-US"/>
        </w:rPr>
        <w:t>v. 42, p. 2744-2747.</w:t>
      </w:r>
    </w:p>
    <w:p w:rsidR="00C20C28" w:rsidRPr="00C72500" w:rsidRDefault="00C20C28" w:rsidP="00C20C28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4. Kuznetsov B.N., Chesnokov N.V., Mikova N.M. e. a. React. Kinet. Catal. Lett., 2003, v. 80, p. 345-350.</w:t>
      </w:r>
    </w:p>
    <w:p w:rsidR="00C20C28" w:rsidRPr="00C72500" w:rsidRDefault="00C20C28" w:rsidP="00C20C28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 xml:space="preserve">5. Pittman C.U., Jiang W., Yue Z.R., Leon </w:t>
      </w:r>
      <w:r w:rsidRPr="00B22AA7">
        <w:t>у</w:t>
      </w:r>
      <w:r w:rsidRPr="00C72500">
        <w:rPr>
          <w:lang w:val="en-US"/>
        </w:rPr>
        <w:t xml:space="preserve"> Leon C.A. Carbon, 1999, v. 37, p. 85—96, </w:t>
      </w:r>
      <w:r w:rsidRPr="00B22AA7">
        <w:t>в</w:t>
      </w:r>
      <w:r w:rsidRPr="00C72500">
        <w:rPr>
          <w:lang w:val="en-US"/>
        </w:rPr>
        <w:t xml:space="preserve"> </w:t>
      </w:r>
      <w:r w:rsidRPr="00B22AA7">
        <w:t>печати</w:t>
      </w:r>
      <w:r w:rsidRPr="00C72500">
        <w:rPr>
          <w:lang w:val="en-US"/>
        </w:rPr>
        <w:t>.</w:t>
      </w:r>
    </w:p>
    <w:p w:rsidR="00C20C28" w:rsidRPr="00C72500" w:rsidRDefault="00C20C28" w:rsidP="00C20C28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6. Ravikovitch P.I., Vishnyakov A., Russo R., Neimark A. Lang-muir, 2000, v. 16, p. 2311-2320.</w:t>
      </w:r>
    </w:p>
    <w:p w:rsidR="00C20C28" w:rsidRPr="00C72500" w:rsidRDefault="00C20C28" w:rsidP="00C20C28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7. Cazorla-Amoros D., Alcaniz-Monge J., de la Casa-Lillo M.A., Linares-Solano A. Ibid., 1998, v. 14, p. 4589—4593.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8.</w:t>
      </w:r>
      <w:r>
        <w:t xml:space="preserve"> </w:t>
      </w:r>
      <w:r w:rsidRPr="00B22AA7">
        <w:t>Кадлец О., Дубинин М.М. Адсорбенты, их получение, свойства и применение. Под ред. М.М. Дубинина, Т.Г. Пла-ченова. Л.: Наука, 1985.</w:t>
      </w:r>
    </w:p>
    <w:p w:rsidR="00C20C28" w:rsidRPr="00B22AA7" w:rsidRDefault="00C20C28" w:rsidP="00C20C28">
      <w:pPr>
        <w:spacing w:before="120"/>
        <w:ind w:firstLine="567"/>
        <w:jc w:val="both"/>
      </w:pPr>
      <w:r w:rsidRPr="00B22AA7">
        <w:t>9.</w:t>
      </w:r>
      <w:r>
        <w:t xml:space="preserve"> </w:t>
      </w:r>
      <w:r w:rsidRPr="00B22AA7">
        <w:t>Гаврилов В.Ю.</w:t>
      </w:r>
      <w:r>
        <w:t xml:space="preserve"> </w:t>
      </w:r>
      <w:r w:rsidRPr="00B22AA7">
        <w:t>Кинетика</w:t>
      </w:r>
      <w:r>
        <w:t xml:space="preserve"> </w:t>
      </w:r>
      <w:r w:rsidRPr="00B22AA7">
        <w:t>и</w:t>
      </w:r>
      <w:r>
        <w:t xml:space="preserve"> </w:t>
      </w:r>
      <w:r w:rsidRPr="00B22AA7">
        <w:t>катализ,</w:t>
      </w:r>
      <w:r>
        <w:t xml:space="preserve"> </w:t>
      </w:r>
      <w:r w:rsidRPr="00B22AA7">
        <w:t>1995,</w:t>
      </w:r>
      <w:r>
        <w:t xml:space="preserve"> </w:t>
      </w:r>
      <w:r w:rsidRPr="00B22AA7">
        <w:t>т.</w:t>
      </w:r>
      <w:r>
        <w:t xml:space="preserve"> </w:t>
      </w:r>
      <w:r w:rsidRPr="00B22AA7">
        <w:t>36,</w:t>
      </w:r>
      <w:r>
        <w:t xml:space="preserve"> </w:t>
      </w:r>
      <w:r w:rsidRPr="00B22AA7">
        <w:t>№</w:t>
      </w:r>
      <w:r>
        <w:t xml:space="preserve"> </w:t>
      </w:r>
      <w:r w:rsidRPr="00B22AA7">
        <w:t>5, с. 787-789.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C28"/>
    <w:rsid w:val="00065E93"/>
    <w:rsid w:val="001F2903"/>
    <w:rsid w:val="003C120C"/>
    <w:rsid w:val="005051C5"/>
    <w:rsid w:val="006B11B3"/>
    <w:rsid w:val="00B22AA7"/>
    <w:rsid w:val="00C20C28"/>
    <w:rsid w:val="00C72500"/>
    <w:rsid w:val="00C87FAC"/>
    <w:rsid w:val="00F373C9"/>
    <w:rsid w:val="00F9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921A4B-5EAF-4643-9134-739DCC3C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C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0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Сорбционные свойства композитов на основе терморасширенных графитов</vt:lpstr>
    </vt:vector>
  </TitlesOfParts>
  <Company>Home</Company>
  <LinksUpToDate>false</LinksUpToDate>
  <CharactersWithSpaces>13031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Сорбционные свойства композитов на основе терморасширенных графитов</dc:title>
  <dc:subject/>
  <dc:creator>User</dc:creator>
  <cp:keywords/>
  <dc:description/>
  <cp:lastModifiedBy>admin</cp:lastModifiedBy>
  <cp:revision>2</cp:revision>
  <dcterms:created xsi:type="dcterms:W3CDTF">2014-02-14T16:33:00Z</dcterms:created>
  <dcterms:modified xsi:type="dcterms:W3CDTF">2014-02-14T16:33:00Z</dcterms:modified>
</cp:coreProperties>
</file>