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9C1" w:rsidRDefault="000819C1">
      <w:pPr>
        <w:jc w:val="center"/>
        <w:rPr>
          <w:sz w:val="30"/>
        </w:rPr>
      </w:pPr>
      <w:r>
        <w:rPr>
          <w:sz w:val="30"/>
        </w:rPr>
        <w:t>Красноярский Государственный Университет.</w:t>
      </w: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  <w:r>
        <w:rPr>
          <w:sz w:val="30"/>
        </w:rPr>
        <w:t>Контрольная</w:t>
      </w: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  <w:r>
        <w:rPr>
          <w:sz w:val="30"/>
        </w:rPr>
        <w:t>Вариант №1.</w:t>
      </w: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  <w:r>
        <w:rPr>
          <w:sz w:val="30"/>
        </w:rPr>
        <w:t>Крестьянская реформа.</w:t>
      </w: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</w:p>
    <w:p w:rsidR="000819C1" w:rsidRDefault="000819C1">
      <w:pPr>
        <w:jc w:val="center"/>
        <w:rPr>
          <w:sz w:val="30"/>
        </w:rPr>
      </w:pPr>
      <w:r>
        <w:rPr>
          <w:sz w:val="30"/>
        </w:rPr>
        <w:t>Красноярск 1999.</w:t>
      </w:r>
      <w:r>
        <w:rPr>
          <w:sz w:val="30"/>
        </w:rPr>
        <w:br w:type="page"/>
      </w:r>
    </w:p>
    <w:p w:rsidR="000819C1" w:rsidRDefault="000819C1">
      <w:pPr>
        <w:rPr>
          <w:sz w:val="30"/>
        </w:rPr>
      </w:pPr>
      <w:r>
        <w:rPr>
          <w:sz w:val="30"/>
        </w:rPr>
        <w:t>ПЛАН:</w:t>
      </w:r>
    </w:p>
    <w:p w:rsidR="000819C1" w:rsidRDefault="000819C1">
      <w:pPr>
        <w:rPr>
          <w:sz w:val="30"/>
        </w:rPr>
      </w:pPr>
    </w:p>
    <w:p w:rsidR="000819C1" w:rsidRDefault="000819C1">
      <w:pPr>
        <w:numPr>
          <w:ilvl w:val="0"/>
          <w:numId w:val="1"/>
        </w:numPr>
        <w:rPr>
          <w:sz w:val="30"/>
        </w:rPr>
      </w:pPr>
      <w:r>
        <w:rPr>
          <w:sz w:val="30"/>
        </w:rPr>
        <w:t>Подготовка крестьянской реформы, проекты.</w:t>
      </w:r>
    </w:p>
    <w:p w:rsidR="000819C1" w:rsidRDefault="000819C1">
      <w:pPr>
        <w:numPr>
          <w:ilvl w:val="0"/>
          <w:numId w:val="1"/>
        </w:numPr>
        <w:rPr>
          <w:sz w:val="30"/>
        </w:rPr>
      </w:pPr>
      <w:r>
        <w:rPr>
          <w:sz w:val="30"/>
        </w:rPr>
        <w:t>Организация и ход реформы.</w:t>
      </w:r>
    </w:p>
    <w:p w:rsidR="000819C1" w:rsidRDefault="000819C1">
      <w:pPr>
        <w:numPr>
          <w:ilvl w:val="0"/>
          <w:numId w:val="1"/>
        </w:numPr>
        <w:rPr>
          <w:sz w:val="30"/>
        </w:rPr>
      </w:pPr>
      <w:r>
        <w:rPr>
          <w:sz w:val="30"/>
        </w:rPr>
        <w:t>Последствия реформы.</w:t>
      </w: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rPr>
          <w:sz w:val="30"/>
        </w:rPr>
      </w:pPr>
    </w:p>
    <w:p w:rsidR="000819C1" w:rsidRDefault="000819C1">
      <w:pPr>
        <w:pStyle w:val="a3"/>
        <w:numPr>
          <w:ilvl w:val="0"/>
          <w:numId w:val="2"/>
        </w:numPr>
      </w:pPr>
      <w:r>
        <w:t>ПОДГОТОВКА КРЕСТЬЯНСКОЙ РЕФОРМЫ, ПРОЕКТЫ.</w:t>
      </w:r>
    </w:p>
    <w:p w:rsidR="000819C1" w:rsidRDefault="000819C1">
      <w:pPr>
        <w:jc w:val="center"/>
        <w:rPr>
          <w:b/>
          <w:sz w:val="30"/>
        </w:rPr>
      </w:pPr>
    </w:p>
    <w:p w:rsidR="000819C1" w:rsidRDefault="000819C1">
      <w:pPr>
        <w:pStyle w:val="a4"/>
      </w:pPr>
      <w:r>
        <w:t>В  начале 1857 года был создан Секретный комитет  по крестьянскому делу (его возглавил шеф жандармов А. Орлов). Однако проведение кардинальной реформы требовало большой гласности и комитет, просуществовав около года, был преобразован в Главный комитет по крестьянским делам, опиравшийся в своей работе на губернские дворянские комитеты, от которых исходили предложения по проведению реформы.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 xml:space="preserve">В 1858-1859 годах было образовано около 50 губернских комитетов. Они были выборными дворянскими органами, их деятельность контролировали представители правительства. 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В комитетах столкнулись различные политические убеждения, стали образовываться фракции.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 xml:space="preserve">Дворянство нечерноземных областей соглашалось на быструю и полную ликвидацию крепостного права, но при достаточной высокой компенсации своих потерь: крестьяне должны были получать земельные наделы за значительный выкуп.   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Помещики черноземных губерний соглашались на безвозмездное освобождение своих крестьян, но без земли, которая представляла для них большую ценность.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В императорском рескрипте, изданном в конце 1857 года, были сформулированы основные положения реформы: земля по прежнему считалось преимущественной собственностью помещиков; крестьянам предоставлялось право выкупа усадебной оседлости в определенный срок; им отводились дополнительные угодья для обеспечения потребности и отбытия повинности; на крестьян возлагались отработка барщины и выплата оброка в определенных пределах. На весь период за помещиками сохранялись функции вотчинной полиции, крестьянам предписывалось организовываться в сельские и волостные общества.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К концу 1858 года во всех губерниях действовали дворянские комитеты по крестьянским делам.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К наиболее радикальным предложениям, обсуждавшимся в комитетах, относился проект Унковского о полном выкупе крестьян с землей при содействии правительства: крестьяне в рассрочку вносят плату за землю, а государство выплачивает вознаграждение помещикам за утрату ими права распоряжаться крепостной рабочей силой.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 xml:space="preserve">Консерваторы считали, что наделы крестьянам должны передаваться лишь на время, а затем их следует возвращать в полное распоряжение помещиков. Крестьяне, получив свободу, не получают земли. 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Позиция правительства и Главного комитета колебалась между прогрессистами и консерваторами. Весной 1858 года Главный комитет склонялся к безземельному освобождению крестьян и введению военного управления в форме генерал-губернаторств.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Но крестьянские волнения 1858 года в Эстляндии показали, что освобождение крестьян без земли не решает проблему. В обществе начинает укрепляться мнение, что конечной целью реформы должно стать превращение крестьян в собственников своих наделов, уничтожение вотчинной власти помещиков и приобщение крестьян к гражданской жизни и правам.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В заседаниях главного комитета определились две позиции – одна предполагала сохранение всей земельной собственности в руках помещиков и настаивала на развитии крупного помещичьего хозяйства, вторая – передачу полевой земли в собственность крестьян за выкуп и создание в деревне двух форм землепользования: помещичьего и крестьянского.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 xml:space="preserve">В конечном счете либеральное направление (А. Головин, Н. Милютин, Д. Милютин и другие «либеральные демократы» и крупные государственные чиновники) победило. Для обработки проектов дворянских комитетов в 1859 году были созданы редакционные комиссии, большинство в которых получили либералы. Александр </w:t>
      </w:r>
      <w:r>
        <w:rPr>
          <w:sz w:val="30"/>
          <w:lang w:val="en-US"/>
        </w:rPr>
        <w:t>II</w:t>
      </w:r>
      <w:r>
        <w:rPr>
          <w:sz w:val="30"/>
        </w:rPr>
        <w:t xml:space="preserve"> оказывал работе комиссии активную поддержку. 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В проекте, подготовленном комиссиями, предполагалось избежать «прусского варианта» – сосредоточение земельной собственности в узком кругу владельцев и развитие батрачества.  Предпочтительным казался «французский вариант» - создание мелкой поземельной собственности для широкого круга владельцев.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Проведение реформы не должно было разрушать существующего порядка: сохранение в собственности дворян их запашки, сохранение за крестьянами с начала в пользовании (за выполняемые ими повинности), а затем в собственности (за выкуп) их дореформенных наделов, исчисление крестьянских повинностей исходя из их дореформенных размеров, а выкупа – от установленных повинностей.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Чтобы предотвратить пролетаризацию крестьянства, проект предлагал два условия: крестьянам запрещалось отказываться от надела (в течение 9 лет); в роли землепользователя выступал не отдельный крестьянин, а крестьянская община. Крестьяне должны были возвратить полученную от государства ссуду в течение 49 лет.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 xml:space="preserve">В целом подготовленный проект стал основой для правовых актов, посредством которых была осуществлена реформа. </w:t>
      </w:r>
      <w:r>
        <w:rPr>
          <w:rStyle w:val="a6"/>
          <w:sz w:val="30"/>
        </w:rPr>
        <w:footnoteReference w:id="1"/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pStyle w:val="a3"/>
        <w:numPr>
          <w:ilvl w:val="0"/>
          <w:numId w:val="2"/>
        </w:numPr>
        <w:spacing w:line="360" w:lineRule="auto"/>
      </w:pPr>
      <w:r>
        <w:t>ОРГАНИЗАЦИЯ И ХОД РЕФОРМЫ.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19 февраля 1861 года император Александр П утвердил ряд документов, важнейшими из которых стали Манифест «О всемилостивейшем даровании крепостным людям прав состояния свободных сельских обывателей и об устройстве их быта» (опубликован 5 марта) и «Положения о крестьянах, вышедших из крепостной зависимости».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Главными положениями этих актов стали: получение крестьянами личной свободы и переход земли (до заключения с помещиком выкупной сделки) в их пользование.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 xml:space="preserve">Наделение землей осуществлялось по добровольному соглашению помещика и крестьянина: первый не мог выделять земельный надел меньше установленной положением нормы; второй не мог требовать надела больше максимальной нормы, предусмотренной в том же положении. Для каждой местности устанавливались свои нормы (высшая и низшая) земельных наделов. Предусматривалось также безвыкупное выделение «дарственных» наделов, размеры которых могли быть меньше минимальных, установленных в положении. 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Душевой надел состоял из усадьбы и пахотной земли. Землей наделялись только лица мужского пола.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 xml:space="preserve">  Собственность на землю сохранялась за помещиком вплоть до совершения выкупной сделки, крестьяне на этот период являлись только ее пользователями. Выкупной договор утверждался мировым посредником.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Крестьяне получали право заниматься торговлей, открывать предприятия, вступать в гильдии, обращаться в суд на равных основаниях с представителями других сословий, поступать на службу, свободно отлучаться с места жительства.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В 1863 и 1866 годах положения реформы были распространены на удельных и государственных крестьян.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Крестьяне платили выкуп за усадебную и полевую землю. В основу выкупной суммы была положена не фактическая (рыночная) стоимость земли, а сумма оброка, которую помещик получал до реформа. Таким образом, в основу выкупной операции был положен некапиталистический, а прежний феодальный критерий.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Крестьяне выплачивали 25% выкупной наличными при совершении выкупной сделки, остальную сумму помещик получал из казны (деньгами и ценными бумагами), ее крестьяне должны были вместе с процентами выплачивать в течение 49 лет.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 xml:space="preserve">Полицейский и фискальный аппараты правительства должны были обеспечить своевременность этих выплат. 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Для кредитования реформы были образованы Крестьянский и Дворянский банки.</w:t>
      </w:r>
      <w:r>
        <w:rPr>
          <w:rStyle w:val="a6"/>
          <w:sz w:val="30"/>
        </w:rPr>
        <w:footnoteReference w:id="2"/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pStyle w:val="a3"/>
        <w:spacing w:line="360" w:lineRule="auto"/>
      </w:pPr>
      <w:r>
        <w:t>3. ПОСЛЕДСТВИЯ РЕФОРМЫ.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Дворянский характер реформы проявился во многих чертах: в порядке исчисления выкупных платежей, в процедуре выкупной операции, в сословных привилегиях при обмене земельных участков и прочее.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При выкупе в черноземных районах проявилась явная тенденция превратить крестьян в арендаторов их собственных наделов (земля там была дорогой), а в нечерноземных – фантастический рост цен за выкупаемую крестьянином усадьбу. Выявилась определенная картина – чем меньше был выкупаемый надел, тем больше за него приходилось платить. Здесь явно проявилась скрытая форма выкупа не земли, а личности крестьянина. Помещик хотел получить с него за свободу.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Неблагоприятными последствиями реформы стали следующие: наделы крестьян уменьшились по сравнению с дореформенными, а платежи (в сравнении со старым оброком) возросли; община фактически потеряла свои права на пользование лесами, лугами и водоемами; крестьяне оставались обособленным сословием.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Давно подготавливаемая крестьянами реформа была нацелена на сохранение стабильности помещичьего землевладения и развитие крестьянского землевладения одновременно. Несмотря на сохранение ряда пережитков в аграрной сфере, реформа открывала путь для развития капиталистических отношений в деревне. Вместе с тем, крестьянское малоземелье, сохранение помещичьих хозяйств, дифференциация деревни создавали значительные социальные проблемы.</w:t>
      </w:r>
      <w:r>
        <w:rPr>
          <w:rStyle w:val="a6"/>
          <w:sz w:val="30"/>
        </w:rPr>
        <w:footnoteReference w:id="3"/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r>
        <w:rPr>
          <w:sz w:val="30"/>
        </w:rPr>
        <w:t>ЛИТЕРАТУРА:</w:t>
      </w:r>
    </w:p>
    <w:p w:rsidR="000819C1" w:rsidRDefault="000819C1">
      <w:pPr>
        <w:pStyle w:val="a5"/>
        <w:spacing w:line="360" w:lineRule="auto"/>
        <w:rPr>
          <w:sz w:val="30"/>
        </w:rPr>
      </w:pPr>
      <w:r>
        <w:rPr>
          <w:sz w:val="30"/>
        </w:rPr>
        <w:t xml:space="preserve">1. Российской законодательство Х-ХХ вв.в 9т. Под ред. О.И. Чистякова. Т.2. М., 1985. </w:t>
      </w:r>
    </w:p>
    <w:p w:rsidR="000819C1" w:rsidRDefault="000819C1">
      <w:pPr>
        <w:pStyle w:val="a5"/>
        <w:spacing w:line="360" w:lineRule="auto"/>
        <w:rPr>
          <w:sz w:val="30"/>
        </w:rPr>
      </w:pPr>
      <w:r>
        <w:rPr>
          <w:sz w:val="30"/>
        </w:rPr>
        <w:t xml:space="preserve">2. История России с древних времен до второй половины Х1Х в. Под ред. Б.В. Лимана. Екатеринбург, 1994. </w:t>
      </w:r>
    </w:p>
    <w:p w:rsidR="000819C1" w:rsidRDefault="000819C1">
      <w:pPr>
        <w:pStyle w:val="a5"/>
        <w:spacing w:line="360" w:lineRule="auto"/>
        <w:rPr>
          <w:sz w:val="30"/>
        </w:rPr>
      </w:pPr>
      <w:r>
        <w:rPr>
          <w:sz w:val="30"/>
        </w:rPr>
        <w:t xml:space="preserve">3. Исаев И.А. История Отечества: Учебное пособие. – М.: «Юристъ», 1987. </w:t>
      </w: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</w:p>
    <w:p w:rsidR="000819C1" w:rsidRDefault="000819C1">
      <w:pPr>
        <w:spacing w:line="360" w:lineRule="auto"/>
        <w:ind w:firstLine="851"/>
        <w:jc w:val="both"/>
        <w:rPr>
          <w:sz w:val="30"/>
        </w:rPr>
      </w:pPr>
      <w:bookmarkStart w:id="0" w:name="_GoBack"/>
      <w:bookmarkEnd w:id="0"/>
    </w:p>
    <w:sectPr w:rsidR="000819C1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9C1" w:rsidRDefault="000819C1">
      <w:r>
        <w:separator/>
      </w:r>
    </w:p>
  </w:endnote>
  <w:endnote w:type="continuationSeparator" w:id="0">
    <w:p w:rsidR="000819C1" w:rsidRDefault="00081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9C1" w:rsidRDefault="000819C1">
      <w:r>
        <w:separator/>
      </w:r>
    </w:p>
  </w:footnote>
  <w:footnote w:type="continuationSeparator" w:id="0">
    <w:p w:rsidR="000819C1" w:rsidRDefault="000819C1">
      <w:r>
        <w:continuationSeparator/>
      </w:r>
    </w:p>
  </w:footnote>
  <w:footnote w:id="1">
    <w:p w:rsidR="000819C1" w:rsidRDefault="000819C1">
      <w:pPr>
        <w:pStyle w:val="a5"/>
      </w:pPr>
      <w:r>
        <w:rPr>
          <w:rStyle w:val="a6"/>
        </w:rPr>
        <w:footnoteRef/>
      </w:r>
      <w:r>
        <w:t xml:space="preserve"> Российской законодательство Х-ХХ вв.в 9т. Под ред. О.И. Чистякова. Т.2. М., 1985. С. 168-168.</w:t>
      </w:r>
    </w:p>
  </w:footnote>
  <w:footnote w:id="2">
    <w:p w:rsidR="000819C1" w:rsidRDefault="000819C1">
      <w:pPr>
        <w:pStyle w:val="a5"/>
      </w:pPr>
      <w:r>
        <w:rPr>
          <w:rStyle w:val="a6"/>
        </w:rPr>
        <w:footnoteRef/>
      </w:r>
      <w:r>
        <w:t xml:space="preserve"> История России с древних времен до второй половины Х1Х в. Под ред. Б.В. Лимана. Екатеринбург, 1994. С. 205.  </w:t>
      </w:r>
    </w:p>
  </w:footnote>
  <w:footnote w:id="3">
    <w:p w:rsidR="000819C1" w:rsidRDefault="000819C1">
      <w:pPr>
        <w:pStyle w:val="a5"/>
      </w:pPr>
      <w:r>
        <w:rPr>
          <w:rStyle w:val="a6"/>
        </w:rPr>
        <w:footnoteRef/>
      </w:r>
      <w:r>
        <w:t xml:space="preserve"> Исаев И.А. История Отечества: Учебное пособие. – М.: «Юристъ», 1987. С. 98-99.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C0B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7B924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6CA"/>
    <w:rsid w:val="000819C1"/>
    <w:rsid w:val="004666CA"/>
    <w:rsid w:val="00BF357D"/>
    <w:rsid w:val="00E7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B9299-22DF-4916-8291-C57B8B5D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  <w:sz w:val="30"/>
    </w:rPr>
  </w:style>
  <w:style w:type="paragraph" w:styleId="a4">
    <w:name w:val="Body Text Indent"/>
    <w:basedOn w:val="a"/>
    <w:semiHidden/>
    <w:pPr>
      <w:spacing w:line="360" w:lineRule="auto"/>
      <w:ind w:firstLine="851"/>
      <w:jc w:val="both"/>
    </w:pPr>
    <w:rPr>
      <w:sz w:val="30"/>
    </w:rPr>
  </w:style>
  <w:style w:type="paragraph" w:styleId="a5">
    <w:name w:val="footnote text"/>
    <w:basedOn w:val="a"/>
    <w:semiHidden/>
  </w:style>
  <w:style w:type="character" w:styleId="a6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1315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аф</vt:lpstr>
    </vt:vector>
  </TitlesOfParts>
  <Company>ОАО "Сибтяжмаш"</Company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аф</dc:title>
  <dc:subject/>
  <dc:creator>Ольга</dc:creator>
  <cp:keywords/>
  <cp:lastModifiedBy>Irina</cp:lastModifiedBy>
  <cp:revision>2</cp:revision>
  <dcterms:created xsi:type="dcterms:W3CDTF">2014-09-07T13:32:00Z</dcterms:created>
  <dcterms:modified xsi:type="dcterms:W3CDTF">2014-09-07T13:32:00Z</dcterms:modified>
</cp:coreProperties>
</file>