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53" w:rsidRDefault="00DB7B5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Сокращение влияния золоотвала ТЭС на окружающую среду</w:t>
      </w:r>
    </w:p>
    <w:p w:rsidR="00DB7B53" w:rsidRDefault="00DB7B5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</w:t>
      </w:r>
    </w:p>
    <w:p w:rsidR="00DB7B53" w:rsidRDefault="00DB7B5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 Осокин Евгений гр. 5016/1</w:t>
      </w:r>
    </w:p>
    <w:p w:rsidR="00DB7B53" w:rsidRDefault="00DB7B5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Санкт-Петербургский Государственный Технический Университет</w:t>
      </w:r>
    </w:p>
    <w:p w:rsidR="00DB7B53" w:rsidRDefault="00DB7B5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 1999</w:t>
      </w:r>
    </w:p>
    <w:p w:rsidR="00DB7B53" w:rsidRDefault="00DB7B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Содержание.</w:t>
      </w:r>
    </w:p>
    <w:p w:rsidR="00DB7B53" w:rsidRDefault="00DB7B53">
      <w:pPr>
        <w:widowControl w:val="0"/>
        <w:tabs>
          <w:tab w:val="left" w:pos="8046"/>
          <w:tab w:val="left" w:pos="852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</w:t>
      </w:r>
    </w:p>
    <w:p w:rsidR="00DB7B53" w:rsidRDefault="00DB7B53">
      <w:pPr>
        <w:widowControl w:val="0"/>
        <w:tabs>
          <w:tab w:val="left" w:pos="8046"/>
          <w:tab w:val="left" w:pos="852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Определение оптимальной площади золоотвала</w:t>
      </w:r>
    </w:p>
    <w:p w:rsidR="00DB7B53" w:rsidRDefault="00DB7B53">
      <w:pPr>
        <w:widowControl w:val="0"/>
        <w:tabs>
          <w:tab w:val="left" w:pos="8046"/>
          <w:tab w:val="left" w:pos="852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Определение длины пути осветления и длины надводного пляжа</w:t>
      </w:r>
    </w:p>
    <w:p w:rsidR="00DB7B53" w:rsidRDefault="00DB7B53">
      <w:pPr>
        <w:widowControl w:val="0"/>
        <w:tabs>
          <w:tab w:val="left" w:pos="8046"/>
          <w:tab w:val="left" w:pos="852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Расчет оптимальной площади и высоты золоотвала.</w:t>
      </w:r>
    </w:p>
    <w:p w:rsidR="00DB7B53" w:rsidRDefault="00DB7B53">
      <w:pPr>
        <w:widowControl w:val="0"/>
        <w:tabs>
          <w:tab w:val="left" w:pos="8046"/>
          <w:tab w:val="left" w:pos="852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Определение фильтрационного расхода</w:t>
      </w:r>
    </w:p>
    <w:p w:rsidR="00DB7B53" w:rsidRDefault="00DB7B53">
      <w:pPr>
        <w:widowControl w:val="0"/>
        <w:tabs>
          <w:tab w:val="left" w:pos="8046"/>
          <w:tab w:val="left" w:pos="852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Расчет дренажной канавы.</w:t>
      </w:r>
    </w:p>
    <w:p w:rsidR="00DB7B53" w:rsidRDefault="00DB7B53">
      <w:pPr>
        <w:widowControl w:val="0"/>
        <w:tabs>
          <w:tab w:val="left" w:pos="8046"/>
          <w:tab w:val="left" w:pos="852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Построение графика Н=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(Т).</w:t>
      </w:r>
    </w:p>
    <w:p w:rsidR="00DB7B53" w:rsidRDefault="00DB7B53">
      <w:pPr>
        <w:widowControl w:val="0"/>
        <w:tabs>
          <w:tab w:val="left" w:pos="8046"/>
          <w:tab w:val="left" w:pos="852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Литература</w:t>
      </w:r>
    </w:p>
    <w:p w:rsidR="00DB7B53" w:rsidRDefault="00DB7B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Определение оптимальной площади золоотвала.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Проектируем золоотвал равнинного типа квадратный в плане. Примыкания отстойного пруда к дамбе обвалования нет.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длины пути осветления и длины надводного пляжа.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Длина пути осветления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0 по заданному эффекту осветления в отстойном пруде определяется по формуле: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8.25pt" fillcolor="window">
            <v:imagedata r:id="rId5" o:title=""/>
          </v:shape>
        </w:pict>
      </w:r>
      <w:r w:rsidR="00DB7B53">
        <w:rPr>
          <w:color w:val="000000"/>
          <w:sz w:val="24"/>
          <w:szCs w:val="24"/>
        </w:rPr>
        <w:t>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Н – глубина воды водосбросного сооружения, Н=1 м,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0 – средняя скорость потока пульпы в месте втекания ее в отстойный пруд,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 xml:space="preserve"> – опытный коэффициент.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расхода воды в системе ГЗУ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=574,2 м3/ч (для 20 выпусков при общем расходе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=11 480 м3/ч) по таблице 2.1. принимаем: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0=0,28 м/с,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=0,096м.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0 – “процентная” скорость осаждения твердой составляющей зольной пульпы, по таблице 2.2. принимаем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>0=0,00063 м/с (для золы печерского угля, при с*=15 000 мг/л, Э=95%).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Следовательно: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147.75pt;height:36pt" fillcolor="window">
            <v:imagedata r:id="rId6" o:title=""/>
          </v:shape>
        </w:pict>
      </w:r>
      <w:r w:rsidR="00DB7B53">
        <w:rPr>
          <w:color w:val="000000"/>
          <w:sz w:val="24"/>
          <w:szCs w:val="24"/>
        </w:rPr>
        <w:t xml:space="preserve"> м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Эффект осветления пульпы на надводном откосе намыва золошлакоотвала, выраженный в процентах, расчитывается по формуле: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102.75pt;height:36pt" fillcolor="window">
            <v:imagedata r:id="rId7" o:title=""/>
          </v:shape>
        </w:pict>
      </w:r>
      <w:r w:rsidR="00DB7B53">
        <w:rPr>
          <w:color w:val="000000"/>
          <w:sz w:val="24"/>
          <w:szCs w:val="24"/>
        </w:rPr>
        <w:t>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н – длина надводного откоса, </w:t>
      </w:r>
      <w:r w:rsidR="006F1DC8">
        <w:rPr>
          <w:color w:val="000000"/>
          <w:sz w:val="24"/>
          <w:szCs w:val="24"/>
        </w:rPr>
        <w:pict>
          <v:shape id="_x0000_i1028" type="#_x0000_t75" style="width:183pt;height:33.75pt" fillcolor="window">
            <v:imagedata r:id="rId8" o:title=""/>
          </v:shape>
        </w:pict>
      </w:r>
      <w:r>
        <w:rPr>
          <w:color w:val="000000"/>
          <w:sz w:val="24"/>
          <w:szCs w:val="24"/>
        </w:rPr>
        <w:t>м,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=0,01Ф=0,01*64=0,64, Ф=64% - функция крупности.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9" type="#_x0000_t75" style="width:141.75pt;height:36pt" fillcolor="window">
            <v:imagedata r:id="rId9" o:title=""/>
          </v:shape>
        </w:pict>
      </w:r>
      <w:r w:rsidR="00DB7B53">
        <w:rPr>
          <w:color w:val="000000"/>
          <w:sz w:val="24"/>
          <w:szCs w:val="24"/>
        </w:rPr>
        <w:t xml:space="preserve"> 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Определяем концентрацию взвешенной золы в потоке осветленной воды в месте втекания в пруд: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style="width:86.25pt;height:36pt" fillcolor="window">
            <v:imagedata r:id="rId10" o:title=""/>
          </v:shape>
        </w:pict>
      </w:r>
      <w:r w:rsidR="00DB7B53">
        <w:rPr>
          <w:color w:val="000000"/>
          <w:sz w:val="24"/>
          <w:szCs w:val="24"/>
        </w:rPr>
        <w:t>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с0 – концентрация пульпы в месте сброса из пульпопровода, с0=40000 мг/л.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1" type="#_x0000_t75" style="width:147pt;height:33.75pt" fillcolor="window">
            <v:imagedata r:id="rId11" o:title=""/>
          </v:shape>
        </w:pict>
      </w:r>
      <w:r w:rsidR="00DB7B53">
        <w:rPr>
          <w:color w:val="000000"/>
          <w:sz w:val="24"/>
          <w:szCs w:val="24"/>
        </w:rPr>
        <w:t xml:space="preserve">мг/л 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Определяем эффект осветления воды в отстойном пруде: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2" type="#_x0000_t75" style="width:78.75pt;height:35.25pt" fillcolor="window">
            <v:imagedata r:id="rId12" o:title=""/>
          </v:shape>
        </w:pict>
      </w:r>
      <w:r w:rsidR="00DB7B53">
        <w:rPr>
          <w:color w:val="000000"/>
          <w:sz w:val="24"/>
          <w:szCs w:val="24"/>
        </w:rPr>
        <w:t>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сп – максимально возможная концентрация взвешенной золы в воде отстойного пруда у места водозабора, принемаемая исходя из рекомендации качества воды для уплотнения сальников подшипников багерных насосов, сп=1000 мг/л.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3" type="#_x0000_t75" style="width:146.25pt;height:30.75pt" fillcolor="window">
            <v:imagedata r:id="rId13" o:title=""/>
          </v:shape>
        </w:pict>
      </w:r>
    </w:p>
    <w:p w:rsidR="00DB7B53" w:rsidRDefault="00DB7B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Расчет оптимальной площади и высоты золоотвала.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Оптимизация размеров золоотвала заключается в отыскании такой площади основания золоотвала, которая при расчетном объеме заполнения, определяемым сроком службы золоотвала и годовым выходом золошлаков, обеспечивала бы размеры в верхней части золоотвала, обеспечивающие необходимое осветление воды.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Расчет сводится к отысканию объема усеченной пирамиды. В расчете заданы: т=3,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0=96,2 м,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н=171,0 м.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Определим минимальную ширину золоотвала по верху: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В0=2(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н+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0+5)=2(171,0+96,2+5)=544,4 м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Объем пирамиды вычисляем по формуле: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4" type="#_x0000_t75" style="width:140.25pt;height:30.75pt" fillcolor="window">
            <v:imagedata r:id="rId14" o:title=""/>
          </v:shape>
        </w:pict>
      </w:r>
      <w:r w:rsidR="00DB7B53">
        <w:rPr>
          <w:color w:val="000000"/>
          <w:sz w:val="24"/>
          <w:szCs w:val="24"/>
        </w:rPr>
        <w:t>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</w:rPr>
        <w:t>=с0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24*365Т,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>0 – концентрация пульпы, с0=0,04 т/м3,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– расход пульпы,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=11480 м3/ч,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 – срок службы золоотвала, Т=20 лет,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</w:rPr>
        <w:t>=0,04*11 480*24*365*20=80 451 840 м3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5" type="#_x0000_t75" style="width:383.25pt;height:30.75pt" fillcolor="window">
            <v:imagedata r:id="rId15" o:title=""/>
          </v:shape>
        </w:pict>
      </w:r>
      <w:r w:rsidR="00DB7B53">
        <w:rPr>
          <w:color w:val="000000"/>
          <w:sz w:val="24"/>
          <w:szCs w:val="24"/>
        </w:rPr>
        <w:t>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Н – высота золоотвала, 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0=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02 – площадь верхнего основания пирамиды,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=В2=(В0+2Нт)2 – площадь нижнего основания пирамиды,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6" type="#_x0000_t75" style="width:6in;height:30.75pt" fillcolor="window">
            <v:imagedata r:id="rId16" o:title=""/>
          </v:shape>
        </w:pict>
      </w:r>
      <w:r w:rsidR="00DB7B53">
        <w:rPr>
          <w:color w:val="000000"/>
          <w:sz w:val="24"/>
          <w:szCs w:val="24"/>
        </w:rPr>
        <w:t xml:space="preserve"> 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качестве ориентировочной может быть принята высота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F1DC8">
        <w:rPr>
          <w:color w:val="000000"/>
          <w:sz w:val="24"/>
          <w:szCs w:val="24"/>
        </w:rPr>
        <w:pict>
          <v:shape id="_x0000_i1037" type="#_x0000_t75" style="width:174pt;height:36pt" fillcolor="window">
            <v:imagedata r:id="rId17" o:title=""/>
          </v:shape>
        </w:pict>
      </w:r>
      <w:r>
        <w:rPr>
          <w:color w:val="000000"/>
          <w:sz w:val="24"/>
          <w:szCs w:val="24"/>
        </w:rPr>
        <w:t xml:space="preserve"> м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Задаваясь высотой Н, вычисляем объем пирамиды. Расчет сведен в таблицу 1. По результатам вычислений строим график зависимостей 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(Н).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670"/>
      </w:tblGrid>
      <w:tr w:rsidR="00DB7B53" w:rsidRPr="00DB7B53">
        <w:trPr>
          <w:trHeight w:val="86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  <w:lang w:val="en-US"/>
              </w:rPr>
              <w:t>W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23794912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27402651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31269707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35405081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39817772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44516780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49511105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54809747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60421706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66355981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72621574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79227483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86182708</w:t>
            </w:r>
          </w:p>
        </w:tc>
      </w:tr>
      <w:tr w:rsidR="00DB7B53" w:rsidRPr="00DB7B53">
        <w:trPr>
          <w:trHeight w:val="293"/>
          <w:jc w:val="center"/>
        </w:trPr>
        <w:tc>
          <w:tcPr>
            <w:tcW w:w="1008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70" w:type="dxa"/>
          </w:tcPr>
          <w:p w:rsidR="00DB7B53" w:rsidRPr="00DB7B53" w:rsidRDefault="00DB7B53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B7B53">
              <w:rPr>
                <w:snapToGrid w:val="0"/>
                <w:color w:val="000000"/>
                <w:sz w:val="24"/>
                <w:szCs w:val="24"/>
              </w:rPr>
              <w:t>93496250</w:t>
            </w:r>
          </w:p>
        </w:tc>
      </w:tr>
    </w:tbl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заданному выходу золошлаков 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</w:rPr>
        <w:t>г=8*107, принимаем Н=105 м. По выбранной высоте вычисляем В=В0+2тН=544,4+2*3*105=1174,4 м.</w:t>
      </w:r>
    </w:p>
    <w:p w:rsidR="00DB7B53" w:rsidRDefault="00DB7B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Определение фильтрационного расхода.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Фильтрационный расход тела первичной дамбы определяем по формуле: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8" type="#_x0000_t75" style="width:53.25pt;height:36.75pt" fillcolor="window">
            <v:imagedata r:id="rId18" o:title=""/>
          </v:shape>
        </w:pict>
      </w:r>
      <w:r w:rsidR="00DB7B53">
        <w:rPr>
          <w:color w:val="000000"/>
          <w:sz w:val="24"/>
          <w:szCs w:val="24"/>
        </w:rPr>
        <w:t>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кТ – коэффициент фильтрации тела первичной дамбы, кТ=7,0 м/сут,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р=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в=19,0+2,02=21,02 м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в=</w:t>
      </w: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1=0,43*4,7 =2,02 м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Н=Н1=4,7м – уровень воды перед первичной дамбой,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=19,0 м – длина фильтрационного пути. 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pict>
          <v:shape id="_x0000_i1039" type="#_x0000_t75" style="width:150pt;height:35.25pt" fillcolor="window">
            <v:imagedata r:id="rId19" o:title=""/>
          </v:shape>
        </w:pict>
      </w:r>
      <w:r w:rsidR="00DB7B53">
        <w:rPr>
          <w:color w:val="000000"/>
          <w:sz w:val="24"/>
          <w:szCs w:val="24"/>
        </w:rPr>
        <w:t xml:space="preserve"> 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0" type="#_x0000_t75" style="width:96pt;height:35.25pt" fillcolor="window">
            <v:imagedata r:id="rId20" o:title=""/>
          </v:shape>
        </w:pict>
      </w:r>
      <w:r w:rsidR="00DB7B53">
        <w:rPr>
          <w:color w:val="000000"/>
          <w:sz w:val="24"/>
          <w:szCs w:val="24"/>
        </w:rPr>
        <w:t>м2/сут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Фильтрационный поток определяем по формуле: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ф=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ф4В=3,68*4*1174,4=17278,5 м3/сут,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В – ширина золоотвала в основании.</w:t>
      </w:r>
    </w:p>
    <w:p w:rsidR="00DB7B53" w:rsidRDefault="00DB7B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Расчет дренажной канавы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Дренажная канава перехватывает паводковый и фильтрационный расходы. Расчитывается как канал с гидравлически наивыгоднейшим сечением.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1" type="#_x0000_t75" style="width:75pt;height:33pt" fillcolor="window">
            <v:imagedata r:id="rId21" o:title=""/>
          </v:shape>
        </w:pict>
      </w:r>
      <w:r w:rsidR="00DB7B53">
        <w:rPr>
          <w:color w:val="000000"/>
          <w:sz w:val="24"/>
          <w:szCs w:val="24"/>
        </w:rPr>
        <w:t>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ф=17278,5 м3/сут = 0,20 м3/с – фильтрационный расход,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п=2,2 м3/с – расход паводковых вод.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2" type="#_x0000_t75" style="width:102pt;height:30.75pt" fillcolor="window">
            <v:imagedata r:id="rId22" o:title=""/>
          </v:shape>
        </w:pict>
      </w:r>
      <w:r w:rsidR="00DB7B53">
        <w:rPr>
          <w:color w:val="000000"/>
          <w:sz w:val="24"/>
          <w:szCs w:val="24"/>
        </w:rPr>
        <w:t>м3/с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3" type="#_x0000_t75" style="width:117.75pt;height:30.75pt" fillcolor="window">
            <v:imagedata r:id="rId23" o:title=""/>
          </v:shape>
        </w:pict>
      </w:r>
      <w:r w:rsidR="00DB7B53">
        <w:rPr>
          <w:color w:val="000000"/>
          <w:sz w:val="24"/>
          <w:szCs w:val="24"/>
        </w:rPr>
        <w:t xml:space="preserve">, 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т=1,5 – коэффициент заложения откосов дренажной канавы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4" type="#_x0000_t75" style="width:132.75pt;height:21pt" fillcolor="window">
            <v:imagedata r:id="rId24" o:title=""/>
          </v:shape>
        </w:pic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в=0,6</w:t>
      </w:r>
      <w:r>
        <w:rPr>
          <w:color w:val="000000"/>
          <w:sz w:val="24"/>
          <w:szCs w:val="24"/>
          <w:lang w:val="en-US"/>
        </w:rPr>
        <w:t>h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Площадь сечения дренажной канавы равна: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7"/>
      </w:r>
      <w:r>
        <w:rPr>
          <w:color w:val="000000"/>
          <w:sz w:val="24"/>
          <w:szCs w:val="24"/>
        </w:rPr>
        <w:t>дк=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(в+т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),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в – ширина дренажной канавы по дну,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 – глубина воды в дренажной канаве.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pict>
          <v:shape id="_x0000_i1045" type="#_x0000_t75" style="width:54pt;height:36pt" fillcolor="window">
            <v:imagedata r:id="rId25" o:title=""/>
          </v:shape>
        </w:pict>
      </w:r>
      <w:r w:rsidR="00DB7B53">
        <w:rPr>
          <w:color w:val="000000"/>
          <w:sz w:val="24"/>
          <w:szCs w:val="24"/>
        </w:rPr>
        <w:t>,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доп=0,85 м/с – допустимая скорость в дренажной канаве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pict>
          <v:shape id="_x0000_i1046" type="#_x0000_t75" style="width:78.75pt;height:33pt" fillcolor="window">
            <v:imagedata r:id="rId26" o:title=""/>
          </v:shape>
        </w:pict>
      </w:r>
      <w:r w:rsidR="00DB7B53">
        <w:rPr>
          <w:color w:val="000000"/>
          <w:sz w:val="24"/>
          <w:szCs w:val="24"/>
          <w:lang w:val="en-US"/>
        </w:rPr>
        <w:t>м2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h(0,6h+1,5h)=1,4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 = 0,7 м, в = 0,4 м.</w:t>
      </w:r>
    </w:p>
    <w:p w:rsidR="00DB7B53" w:rsidRDefault="00DB7B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Построение графика Н = </w:t>
      </w:r>
      <w:r>
        <w:rPr>
          <w:b/>
          <w:bCs/>
          <w:color w:val="000000"/>
          <w:sz w:val="28"/>
          <w:szCs w:val="28"/>
          <w:lang w:val="en-US"/>
        </w:rPr>
        <w:t>f</w:t>
      </w:r>
      <w:r>
        <w:rPr>
          <w:b/>
          <w:bCs/>
          <w:color w:val="000000"/>
          <w:sz w:val="28"/>
          <w:szCs w:val="28"/>
        </w:rPr>
        <w:t>(Т).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График строим по трем точкам: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 = 0, Т = 0.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Т=10 лет определим выход золошлаков и высоту золоотвала: 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</w:rPr>
        <w:t>=с0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24*365Т=0,04*11480*24*365*10=21025920 м3</w: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7" type="#_x0000_t75" style="width:173.25pt;height:30.75pt" fillcolor="window">
            <v:imagedata r:id="rId27" o:title=""/>
          </v:shape>
        </w:pic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8" type="#_x0000_t75" style="width:468pt;height:30.75pt" fillcolor="window">
            <v:imagedata r:id="rId28" o:title=""/>
          </v:shape>
        </w:pict>
      </w:r>
      <w:r w:rsidR="00DB7B53">
        <w:rPr>
          <w:color w:val="000000"/>
          <w:sz w:val="24"/>
          <w:szCs w:val="24"/>
        </w:rPr>
        <w:t xml:space="preserve"> 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 = 45,3 м. Т = 10 лет.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 = 105 м, Т = 20 лет.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Литература.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Рекомендации по проектированию золоотвалов ТЭС. Л., 1986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Печенкин М.В. Конспект лекций по курсу “Природоохранные инженерные сооружения”</w: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-31.7pt;margin-top:-13.2pt;width:467.3pt;height:309.6pt;z-index:251657216" o:allowincell="f">
            <v:imagedata r:id="rId29" o:title=""/>
            <w10:wrap type="topAndBottom"/>
          </v:shape>
        </w:pict>
      </w:r>
    </w:p>
    <w:p w:rsidR="00DB7B53" w:rsidRDefault="006F1D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29" type="#_x0000_t75" style="position:absolute;left:0;text-align:left;margin-left:-32.4pt;margin-top:13.2pt;width:475.2pt;height:291.75pt;z-index:251658240" o:allowincell="f">
            <v:imagedata r:id="rId30" o:title=""/>
            <w10:wrap type="topAndBottom"/>
          </v:shape>
        </w:pict>
      </w: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B7B53" w:rsidRDefault="00DB7B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B7B53">
      <w:pgSz w:w="11906" w:h="16838"/>
      <w:pgMar w:top="1134" w:right="1134" w:bottom="1134" w:left="1134" w:header="1440" w:footer="1440" w:gutter="0"/>
      <w:pgNumType w:chapStyle="1" w:chapSep="emDash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E2BA4"/>
    <w:multiLevelType w:val="multilevel"/>
    <w:tmpl w:val="37F87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58925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3E19A5"/>
    <w:multiLevelType w:val="multilevel"/>
    <w:tmpl w:val="F9E0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6032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EB2057E"/>
    <w:multiLevelType w:val="multilevel"/>
    <w:tmpl w:val="C43A6E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0E74513"/>
    <w:multiLevelType w:val="multilevel"/>
    <w:tmpl w:val="42287C1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6EFC1520"/>
    <w:multiLevelType w:val="multilevel"/>
    <w:tmpl w:val="2638A280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4"/>
        </w:tabs>
        <w:ind w:left="72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A17"/>
    <w:rsid w:val="000C6A17"/>
    <w:rsid w:val="006F1DC8"/>
    <w:rsid w:val="00D62CD4"/>
    <w:rsid w:val="00D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AAF32B16-8943-4CFE-84C3-C0257A07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21">
    <w:name w:val="envelope return"/>
    <w:basedOn w:val="a"/>
    <w:uiPriority w:val="99"/>
    <w:rPr>
      <w:b/>
      <w:bCs/>
      <w:i/>
      <w:iCs/>
      <w:sz w:val="28"/>
      <w:szCs w:val="28"/>
    </w:rPr>
  </w:style>
  <w:style w:type="paragraph" w:styleId="a3">
    <w:name w:val="envelope address"/>
    <w:basedOn w:val="a"/>
    <w:uiPriority w:val="99"/>
    <w:pPr>
      <w:framePr w:w="7920" w:h="1980" w:hRule="exact" w:hSpace="141" w:wrap="auto" w:hAnchor="page" w:xAlign="center" w:yAlign="bottom"/>
      <w:ind w:left="2880"/>
    </w:pPr>
    <w:rPr>
      <w:b/>
      <w:bCs/>
      <w:i/>
      <w:iCs/>
      <w:sz w:val="28"/>
      <w:szCs w:val="28"/>
    </w:r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i/>
      <w:iCs/>
      <w:sz w:val="28"/>
      <w:szCs w:val="28"/>
    </w:r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page number"/>
    <w:uiPriority w:val="99"/>
  </w:style>
  <w:style w:type="paragraph" w:styleId="22">
    <w:name w:val="Body Text Indent 2"/>
    <w:basedOn w:val="a"/>
    <w:link w:val="23"/>
    <w:uiPriority w:val="99"/>
    <w:pPr>
      <w:ind w:firstLine="360"/>
      <w:jc w:val="both"/>
    </w:pPr>
    <w:rPr>
      <w:i/>
      <w:iCs/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4">
    <w:name w:val="Body Text 2"/>
    <w:basedOn w:val="a"/>
    <w:link w:val="25"/>
    <w:uiPriority w:val="99"/>
    <w:pPr>
      <w:ind w:left="360"/>
      <w:jc w:val="both"/>
    </w:pPr>
    <w:rPr>
      <w:i/>
      <w:iCs/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3027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Сокращение влияния золоотвала ТЭС на окружающую среду</vt:lpstr>
    </vt:vector>
  </TitlesOfParts>
  <Company>PERSONAL COMPUTERS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Сокращение влияния золоотвала ТЭС на окружающую среду</dc:title>
  <dc:subject/>
  <dc:creator>USER</dc:creator>
  <cp:keywords/>
  <dc:description/>
  <cp:lastModifiedBy>admin</cp:lastModifiedBy>
  <cp:revision>2</cp:revision>
  <dcterms:created xsi:type="dcterms:W3CDTF">2014-01-26T20:41:00Z</dcterms:created>
  <dcterms:modified xsi:type="dcterms:W3CDTF">2014-01-26T20:41:00Z</dcterms:modified>
</cp:coreProperties>
</file>