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aps/>
          <w:kern w:val="28"/>
          <w:sz w:val="28"/>
          <w:szCs w:val="28"/>
        </w:rPr>
      </w:pPr>
      <w:r w:rsidRPr="00811506">
        <w:rPr>
          <w:b/>
          <w:bCs/>
          <w:caps/>
          <w:kern w:val="28"/>
          <w:sz w:val="28"/>
          <w:szCs w:val="28"/>
        </w:rPr>
        <w:t>Изменения в Типовой план счетов бухгалтерского учета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Все помнят, что с 1 января 2004 г. организации перешли на новый Типовой план счетов бухгалтерского учета, утвержденный постановлением Министерства финансов Республики Беларусь от 30.05.2003 № 89 «Об утверждении Типового плана счетов бухгалтерского учета и Инструкции по применению Типового плана счетов бухгалтерского учета» (далее - Типовой план счетов и Постановление № 89 соответственно). С тех пор в нормативные правовые акты по бухгалтерскому учету и отчетности вносились многочисленные изменения и дополнения, принимались новые документы, а Типовой план счетов оставался прежним. Наконец, постановлением Министерства финансов Республики Беларусь от 11.12.2008 № 187 «О внесении изменений и дополнений в некоторые нормативные правовые акты Министерства финансов Республики Беларусь» (далее - Постановление № 187), вступившим в силу с 9 января 2009 г., были внесены изменения и в Типовой план счетов, и в Инструкцию по применению Типового плана счетов бухгалтерского учета, также утвержденную Постановлением № 89 (далее - Инструкция № 89).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В первую очередь, отметим те дополнения, которые внесены в Типовой план счетов.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Во-первых, к некоторым счетам бухгалтерского учета введены дополнительные субсчета.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В частности, к сч. 08 «Вложения во внеоборотные активы» дополнительно введены два субсчета: 08-10 «Строительство и создание объектов для реализации» и 08-11 «Строительство и создание объектов на условиях долевого строительства».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Счет 10 «Материалы» дополнен субсчетами 10-12 «Лом и отходы, содержащие драгоценные металлы», 10-13 «Временные (нетитульные) сооружения и приспособления».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Счет 55 «Специальные счета в банках» дополнен двумя субсчетами: 55-8 «Средства дольщиков», 55-9 «Покупка валюты».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К сч. 62 «Расчеты с покупателями и заказчиками» введен дополнительный субсчет 62-5 «Расчеты с дольщиками по финансированию создания объекта долевого строительства».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Счет 76 «Расчеты с разными дебиторами и кредиторами» также дополнен дополнительным субсчетом 76-7 «Имущество, переданное в безвозмездное пользование».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Напомним, что в соответствии с Инструкцией № 89 субсчета, предусмотренные в Типовом плане счетов, используются организацией исходя из функций управления, включая анализ, контроль и отчетность. Организации могут уточнять содержание отдельных субсчетов, приведенных в Типовом плане счетов, исключая и объединяя их, а также вводить дополнительные субсчета.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Во-вторых, в Типовом плане счетов появились четыре новых забалансовых счета:</w:t>
      </w:r>
    </w:p>
    <w:p w:rsidR="00744C1C" w:rsidRPr="00811506" w:rsidRDefault="00744C1C" w:rsidP="00811506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- 015 «Товары отгруженные в отпускных ценах»;</w:t>
      </w:r>
    </w:p>
    <w:p w:rsidR="00744C1C" w:rsidRPr="00811506" w:rsidRDefault="00744C1C" w:rsidP="00811506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- 016 «Имущество, находящееся в совместном владении»;</w:t>
      </w:r>
    </w:p>
    <w:p w:rsidR="00744C1C" w:rsidRPr="00811506" w:rsidRDefault="00744C1C" w:rsidP="00811506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- 017 «Именные приватизационные чеки "Имущество"»;</w:t>
      </w:r>
    </w:p>
    <w:p w:rsidR="00744C1C" w:rsidRPr="00811506" w:rsidRDefault="00744C1C" w:rsidP="00811506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- 018 «Материалы, оборудование, принятые (приобретенные) в рамках гарантийных обязательств».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В-третьих, Инструкция № 89 дополнена нормой, в соответствии с которой в случае возникновения в процессе хозяйственной деятельности операций, корреспонденция счетов по которым не предусмотрена данным нормативным актом, организация вправе составлять соответствующую корреспонденцию счетов исходя из содержания хозяйственной операции.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Иными словами, основываясь на экономической сущности хозяйственной операции, в бухгалтерском учете может быть составлена соответствующая корреспонденция счетов, которая Инструкцией № 89 не предусмотрена. Это и понятно. Ведь нереально в одном нормативном правовом акте предусмотреть все возможные бухгалтерские проводки. Несмотря на тот факт, что данная норма введена только сейчас, ею можно было пользоваться и ранее, так как в Инструкции № 89 еще до внесения изменений Постановлением № 187 указывалось, что в ней приведена краткая характеристика синтетических счетов и открываемых к ним субсчетов, раскрыты их структура и назначение, а также порядок отражения наиболее распространенных из них. Кстати, эта норма сохранена.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В-четвертых, в Инструкцию № 89 включены разъяснения к введенным дополнениям в Типовой план счетов. Отметим, что внесенные изменения во многом связаны с приведением норм Инструкции № 89 в соответствие с требованиями действующих нормативных правовых актов по бухгалтерскому учету и отчетности (хотя, конечно, и после внесения изменений не все ее нормы стали соответствовать уже действующему бухгалтерскому законодательству, например, по учету ценных бумаг).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В частности, комментарий к сч. 01 «Основные средства» в числе прочих дополнен нормами о том, что объекты недвижимости, подлежащие в соответствии с законодательством обязательной государственной регистрации, по которым закончены капитальные вложения, оформлены первичные учетные документы о приеме-передаче, принимаются к бухгалтерскому учету в качестве основных средств с отражением на отдельном субсчете «Основные средства, подлежащие регистрации» к сч. 01 «Основные средства».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После государственной регистрации права собственности на объекты недвижимого имущества в установленном законодательством порядке указанные объекты основных средств отражаются на сч. 01 «Основные средства» в составе собственных основных средств.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В аналогичном порядке отражаются в бухгалтерском учете отдельные объекты основных средств, подлежащие обязательной регистрации либо сертификации, по которым оформлены первичные учетные документы о приеме-передаче.</w:t>
      </w:r>
      <w:r w:rsidR="00811506">
        <w:rPr>
          <w:kern w:val="28"/>
          <w:sz w:val="28"/>
          <w:szCs w:val="28"/>
        </w:rPr>
        <w:t xml:space="preserve"> </w:t>
      </w:r>
      <w:r w:rsidRPr="00811506">
        <w:rPr>
          <w:kern w:val="28"/>
          <w:sz w:val="28"/>
          <w:szCs w:val="28"/>
        </w:rPr>
        <w:t>Приведенные нормы взяты из п. 16 Инструкции об отражении в бухгалтерском учете хозяйственных операций с основными средствами, утвержденной постановлением Министерства финансов Республики Беларусь от 20.12.2001 № 127.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Из разъяснений к сч. 07 «Оборудование к установке» исключена норма о том, что он используется организациями-застройщиками. Теперь этот счет предназначен не только для обобщения информации о наличии и движении технологического, энергетического и производственного оборудования (включая оборудование для мастерских, опытных установок и лабораторий), требующего монтажа и предназначенного для установки в строящихся (реконструируемых) объектах, но и для учета оборудования, приобретенного в целях выполнения программ по техническому перевооружению до передачи его в монтаж. К сч. 07 «Оборудование к установке» могут быть открыты два субсчета:</w:t>
      </w:r>
    </w:p>
    <w:p w:rsidR="00744C1C" w:rsidRPr="00811506" w:rsidRDefault="00744C1C" w:rsidP="00811506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- 07-1 «Оборудование на складе»;</w:t>
      </w:r>
    </w:p>
    <w:p w:rsidR="00744C1C" w:rsidRPr="00811506" w:rsidRDefault="00744C1C" w:rsidP="00811506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- 07-2 «Оборудование, переданное для монтажа».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Кроме того, на сч. 07 «Оборудование к установке» теперь можно учитывать оборудование, не требующее монтажа: транспортные средства, свободно стоящие станки, строительные механизмы, сельскохозяйственные машины, производственный инструмент, измерительные и другие приборы, производственный инвентарь и др.</w:t>
      </w:r>
    </w:p>
    <w:p w:rsidR="00744C1C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На субсчете 08-10 «Строительство и создание объектов для реализации» с 9 января 2009 г. учитываются затраты по строительству и созданию объектов, которые будут приняты к бухгалтерскому учету в качестве готовой строительной продукции (объекта), предназначенной для реализации. При строительстве объекта для дальнейшей продажи законченный строитель­ством объект учитывается у собственника записью:</w:t>
      </w:r>
    </w:p>
    <w:p w:rsidR="00811506" w:rsidRPr="00811506" w:rsidRDefault="00811506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22"/>
        <w:gridCol w:w="4722"/>
      </w:tblGrid>
      <w:tr w:rsidR="00744C1C" w:rsidRPr="00811506" w:rsidTr="00811506">
        <w:trPr>
          <w:trHeight w:val="20"/>
          <w:tblCellSpacing w:w="-8" w:type="dxa"/>
          <w:jc w:val="center"/>
        </w:trPr>
        <w:tc>
          <w:tcPr>
            <w:tcW w:w="2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Дебет счета</w:t>
            </w:r>
          </w:p>
        </w:tc>
        <w:tc>
          <w:tcPr>
            <w:tcW w:w="2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Кредит счета</w:t>
            </w:r>
          </w:p>
        </w:tc>
      </w:tr>
      <w:tr w:rsidR="00744C1C" w:rsidRPr="00811506" w:rsidTr="00811506">
        <w:trPr>
          <w:trHeight w:val="20"/>
          <w:tblCellSpacing w:w="-8" w:type="dxa"/>
          <w:jc w:val="center"/>
        </w:trPr>
        <w:tc>
          <w:tcPr>
            <w:tcW w:w="2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43</w:t>
            </w:r>
          </w:p>
        </w:tc>
        <w:tc>
          <w:tcPr>
            <w:tcW w:w="2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08</w:t>
            </w:r>
          </w:p>
        </w:tc>
      </w:tr>
    </w:tbl>
    <w:p w:rsidR="00811506" w:rsidRDefault="00811506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- по сумме всех затрат на строительство.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На субсчете 08-11 «Строительство и создание объектов на условиях долевого строительства» теперь учитываются затраты по долевому строитель­ству объектов, которые будут приняты к бухгалтерскому учету в качестве готовой строительной продукции (объекта), предназначенной для передачи дольщикам.</w:t>
      </w:r>
    </w:p>
    <w:p w:rsidR="00744C1C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Приобретение объектов основных средств по договору долевого строительства с целью их дальнейшей продажи отражается в бухгалтерском учете организации-дольщика записью:</w:t>
      </w:r>
    </w:p>
    <w:p w:rsidR="00811506" w:rsidRPr="00811506" w:rsidRDefault="00811506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22"/>
        <w:gridCol w:w="4722"/>
      </w:tblGrid>
      <w:tr w:rsidR="00744C1C" w:rsidRPr="00811506" w:rsidTr="00C94B97">
        <w:trPr>
          <w:tblCellSpacing w:w="-8" w:type="dxa"/>
          <w:jc w:val="center"/>
        </w:trPr>
        <w:tc>
          <w:tcPr>
            <w:tcW w:w="2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Дебет счета</w:t>
            </w:r>
          </w:p>
        </w:tc>
        <w:tc>
          <w:tcPr>
            <w:tcW w:w="2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Кредит счета</w:t>
            </w:r>
          </w:p>
        </w:tc>
      </w:tr>
      <w:tr w:rsidR="00744C1C" w:rsidRPr="00811506" w:rsidTr="00C94B97">
        <w:trPr>
          <w:tblCellSpacing w:w="-8" w:type="dxa"/>
          <w:jc w:val="center"/>
        </w:trPr>
        <w:tc>
          <w:tcPr>
            <w:tcW w:w="2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41</w:t>
            </w:r>
          </w:p>
        </w:tc>
        <w:tc>
          <w:tcPr>
            <w:tcW w:w="2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08</w:t>
            </w:r>
          </w:p>
        </w:tc>
      </w:tr>
    </w:tbl>
    <w:p w:rsidR="00811506" w:rsidRDefault="00811506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Лом и отходы, содержащие драгоценные металлы, с 9 января 2009 г. учитываются на субсчете 10-12 «Лом и отходы, содержащие драгоценные металлы». По дебету этого субсчета учитываются: поступление лома, содержащего драгоценные металлы, полученного от разборки или демонтажа оборудования, приборов и иных изделий (по ценам на дату постановки на учет), - в корреспонденции с кредитом сч. 91 «Операционные доходы и расходы»; отходов производства, содержащих драгоценные металлы (по ценам на дату постановки на учет), - в корреспонденции с кредитом сч. 20 «Основное производства»; дооценка стоимости драгоценных металлов до цены на дату отгрузки - в корреспонденции с кредитом сч. 91 «Операционные доходы и расходы». По кредиту субсчета 10-12 «Лом и отходы, содержащие драгоценные металлы» отражается отгрузка лома и отходов на переработку (по ценам на дату отгрузки) в корреспонденции с дебетом субсчета 10-7 «Материалы, переданные в переработку на сторону».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На субсчете 10-13 «Временные (нетитульные) сооружения и приспособления» учитывается наличие и движение временных (нетитульных) сооружений и приспособлений в эксплуатации по фактической себестоимости, которые включаются в состав средств в обороте. Их стоимость погашается ежемесячно исходя из сроков эксплуатации в зависимости от длительности проведения работ, для которых они были необходимы. При этом принимается во внимание возвратная часть, т.е. стоимость материалов, полученных от разборки указанных временных объектов.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Учет специальных приспособлений, изготовленных из драгоценных металлов, и износа по ним может вестись на отдельных субсчетах, открытых к сч. 10 «Материалы».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Для учета движения средств дольщиков, хранящихся на счете, открываемом на имя заказчика (застройщика) и используемых строго по целевому назначению, Типовой план счетов дополнен субсчетом 55-8 «Средства дольщиков». Имущество, приобретенное за эти средства, не принадлежит организации - заказчику (застройщику), а является коллективной собственностью дольщиков. При этом на дополнительно введенном субсчете 62-5 «Расчеты с дольщиками по финансированию создания объекта долевого строительства» учитываются расчеты с дольщиками по финансированию создания объекта на условиях долевого строительства.</w:t>
      </w:r>
    </w:p>
    <w:p w:rsidR="00744C1C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Таким образом, денежные средства, поступившие от дольщиков, подлежат отражению организацией-застройщиком записью:</w:t>
      </w:r>
    </w:p>
    <w:p w:rsidR="00811506" w:rsidRPr="00811506" w:rsidRDefault="00811506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32"/>
        <w:gridCol w:w="2340"/>
        <w:gridCol w:w="3072"/>
      </w:tblGrid>
      <w:tr w:rsidR="00744C1C" w:rsidRPr="00811506" w:rsidTr="00811506">
        <w:trPr>
          <w:tblCellSpacing w:w="-8" w:type="dxa"/>
          <w:jc w:val="center"/>
        </w:trPr>
        <w:tc>
          <w:tcPr>
            <w:tcW w:w="213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Наименование хозяйственной операции</w:t>
            </w:r>
          </w:p>
        </w:tc>
        <w:tc>
          <w:tcPr>
            <w:tcW w:w="1239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Дебет счета</w:t>
            </w:r>
          </w:p>
        </w:tc>
        <w:tc>
          <w:tcPr>
            <w:tcW w:w="1661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Кредит счета</w:t>
            </w:r>
          </w:p>
        </w:tc>
      </w:tr>
      <w:tr w:rsidR="00744C1C" w:rsidRPr="00811506" w:rsidTr="00811506">
        <w:trPr>
          <w:trHeight w:val="20"/>
          <w:tblCellSpacing w:w="-8" w:type="dxa"/>
          <w:jc w:val="center"/>
        </w:trPr>
        <w:tc>
          <w:tcPr>
            <w:tcW w:w="2133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«Средства дольщиков»</w:t>
            </w:r>
          </w:p>
        </w:tc>
        <w:tc>
          <w:tcPr>
            <w:tcW w:w="1239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55-8</w:t>
            </w:r>
          </w:p>
        </w:tc>
        <w:tc>
          <w:tcPr>
            <w:tcW w:w="1661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86</w:t>
            </w:r>
          </w:p>
        </w:tc>
      </w:tr>
    </w:tbl>
    <w:p w:rsidR="00811506" w:rsidRDefault="00811506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p w:rsidR="00744C1C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А средства, поступившие в качестве вознаграждения за организацию и обеспечение строительства, отражаются в бухгалтерском учете застройщика проводкой:</w:t>
      </w:r>
    </w:p>
    <w:p w:rsidR="00811506" w:rsidRPr="00811506" w:rsidRDefault="00811506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Эти средства включаются у застройщика в выручку после подписания с дольщиком акта сдачи-приемки оказанных услуг.</w:t>
      </w:r>
    </w:p>
    <w:p w:rsidR="00811506" w:rsidRPr="00811506" w:rsidRDefault="00811506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Дополнениями, внесенными в Инструкцию № 89, предусмотрено, что при покупке организациями иностранной валюты используется субсчет 55-9 «Покупка валюты». Банк открывает для организации специальный счет по покупке валюты, на который зачисляется купленная валюта и с которого в дальнейшем производятся платежи. По движению валютных средств на этом счете организации предоставляется выписка банка.</w:t>
      </w:r>
    </w:p>
    <w:p w:rsidR="00811506" w:rsidRPr="00811506" w:rsidRDefault="00811506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tbl>
      <w:tblPr>
        <w:tblW w:w="0" w:type="auto"/>
        <w:jc w:val="center"/>
        <w:tblCellSpacing w:w="-8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525"/>
        <w:gridCol w:w="1260"/>
        <w:gridCol w:w="1659"/>
      </w:tblGrid>
      <w:tr w:rsidR="00744C1C" w:rsidRPr="00811506" w:rsidTr="00997751">
        <w:trPr>
          <w:trHeight w:val="20"/>
          <w:tblCellSpacing w:w="-8" w:type="dxa"/>
          <w:jc w:val="center"/>
        </w:trPr>
        <w:tc>
          <w:tcPr>
            <w:tcW w:w="654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Наименование хозяйственной операции</w:t>
            </w:r>
          </w:p>
        </w:tc>
        <w:tc>
          <w:tcPr>
            <w:tcW w:w="127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Дебет счета</w:t>
            </w:r>
          </w:p>
        </w:tc>
        <w:tc>
          <w:tcPr>
            <w:tcW w:w="168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Кредит счета</w:t>
            </w:r>
          </w:p>
        </w:tc>
      </w:tr>
      <w:tr w:rsidR="00744C1C" w:rsidRPr="00811506" w:rsidTr="00997751">
        <w:trPr>
          <w:tblCellSpacing w:w="-8" w:type="dxa"/>
          <w:jc w:val="center"/>
        </w:trPr>
        <w:tc>
          <w:tcPr>
            <w:tcW w:w="654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«Расчеты с дольщиками по финансированию создания объекта долевого строительства»</w:t>
            </w:r>
          </w:p>
        </w:tc>
        <w:tc>
          <w:tcPr>
            <w:tcW w:w="127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51</w:t>
            </w:r>
          </w:p>
        </w:tc>
        <w:tc>
          <w:tcPr>
            <w:tcW w:w="168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62-5</w:t>
            </w:r>
          </w:p>
        </w:tc>
      </w:tr>
    </w:tbl>
    <w:p w:rsidR="00811506" w:rsidRDefault="00811506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Вместе с тем, как и ранее, организации вместо сч. 55 «Специальные счета в банках» при покупке валюты могут использовать сч. 52 «Валютные счета», так как согласно Инструкции № 89 принципы, правила и способы ведения организациями бухгалтерского учета отдельных активов, обязательств, финансовых и хозяйственных операций и др. (в том числе их оценки и группировки) устанавливаются положениями и другими нормативными правовыми актами, методическими указаниями по вопросам бухгалтерского учета.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В рассматриваемом случае таким нормативным правовым актом является Инструкция по бухгалтерскому учету активов и обязательств организации, стоимость которых выражена в иностранной валюте, утвержденная постановлением Министерства финансов Республики Беларусь от 27.12.2007 № 199. В п. 15 этого акта стоимость приобретенной иностранной валюты пересчитывается по официальному курсу Национального банка Республики Беларусь, действовавшему на дату ее зачисления на валютный счет либо на дату ее покупки (в соответствии с условиями заключенного договора на покупку иностранной валюты), и отражается по дебету сч. 52 «Валютные счета», 55 «Специальные счета в банках» в корреспонденции с кредитом сч. 57 «Переводы в пути», 76 «Расчеты с разными дебиторами и кредиторами».</w:t>
      </w:r>
    </w:p>
    <w:p w:rsidR="00744C1C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Согласно внесенным дополнениям реструктуризация кредиторской задолженности в соответствии с законодательством по расчетам с республиканским и (или) местным бюджетом, расчетам по кредитам и займам банков и другим расчетам организации теперь отражается в бухгалтерском учете записью:</w:t>
      </w:r>
    </w:p>
    <w:p w:rsidR="00811506" w:rsidRPr="00811506" w:rsidRDefault="00811506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22"/>
        <w:gridCol w:w="4722"/>
      </w:tblGrid>
      <w:tr w:rsidR="00744C1C" w:rsidRPr="00811506" w:rsidTr="00C94B97">
        <w:trPr>
          <w:tblCellSpacing w:w="-8" w:type="dxa"/>
          <w:jc w:val="center"/>
        </w:trPr>
        <w:tc>
          <w:tcPr>
            <w:tcW w:w="2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Дебет счета</w:t>
            </w:r>
          </w:p>
        </w:tc>
        <w:tc>
          <w:tcPr>
            <w:tcW w:w="2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Кредит счета</w:t>
            </w:r>
          </w:p>
        </w:tc>
      </w:tr>
      <w:tr w:rsidR="00744C1C" w:rsidRPr="00811506" w:rsidTr="00C94B97">
        <w:trPr>
          <w:tblCellSpacing w:w="-8" w:type="dxa"/>
          <w:jc w:val="center"/>
        </w:trPr>
        <w:tc>
          <w:tcPr>
            <w:tcW w:w="2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60, 66, 67, 68, 69, 76</w:t>
            </w:r>
          </w:p>
        </w:tc>
        <w:tc>
          <w:tcPr>
            <w:tcW w:w="2500" w:type="pct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75</w:t>
            </w:r>
          </w:p>
        </w:tc>
      </w:tr>
    </w:tbl>
    <w:p w:rsidR="00811506" w:rsidRDefault="00811506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Списание реструктуризированной задолженности отражается по дебету сч. 75 «Расчеты с учредителями» или счетов учета расчетов в корреспонденции с кредитом сч. 92 «Внереализационные доходы и расходы».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Изменения состава учредителей (участников, акционеров) или изменения размера их вкладов (долей, паев) в уставном фонде отражаются внутренними записями по субсчетам сч. 75 «Расчеты с учредителями».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Увеличение уставного фонда в сумме вкладов учредителей отражается по кредиту сч. 80 «Уставный фонд» в корреспонденции с дебетом сч. 75 «Расчеты с учредителями» после внесения соответствующих изменений в учредительные документы (на сумму реструктуризированной задолженности).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Предоставленная отсрочка и (или) рассрочка по уплате налогов и сборов, а также по платежам в Фонд социальной защиты населения в соответствии с законодательством отражается в бухгалтерском учете на отдельном субсчете к сч. 68 «Расчеты по налогам и сборам», 69 «Расчеты по социальному страхованию и обеспечению».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Внесенными Постановлением № 187 дополнениями уточнено наличие субсчетов к сч. 83 «Добавочный фонд» и 84 «Нераспределенная прибыль (непокрытый убыток)». Так, к сч. 83 «Добавочный фонд» в зависимости от источников могут быть открыты следующие субсчета: «Фонд переоценки активов», «Фонд безвозмездно полученных основных средств и иных активов», «Фонд пополнения собственных оборотных средств», «Фонд пополнения собственных оборотных средств за счет средств целевого финансирования», «Фонд в части денежных средств, использованных при приобретении внеоборотных активов за счет безвозмездных поступлений», «Фонд в части прибыли, направленной на финансирование капитальных вложений» и др.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К сч. 84 «Нераспределенная прибыль (непокрытый убыток)» могут открываться следующие субсчета: «Общая нераспределенная прибыль», «Непокрытый убыток», «Отчисления в фонд национального развития», «Отчисления части прибыли собственнику», «Отчисления в резервный фонд», «Отчисления в фонд пополнения собственных оборотных средств», «Фонд накопления», «Фонд потребления» и др.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По общему правилу, наличие соответствующих субсчетов предусматривается учетной политикой организации, которая включает в себя среди прочего план счетов бухгалтерского учета организации. При этом в бухгалтерском учете составляются соответствующие бухгалтерские записи в соответствии с Инструкцией № 89, иными нормативными правовыми актами по бухгалтерскому учету и отчетности, а также экономической сущностью совершенной хозяйственной операции.</w:t>
      </w:r>
    </w:p>
    <w:p w:rsidR="00744C1C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Весьма интересное изменение, внесенное Постановлением № 187, касается учета выданных займов работникам предприятия. Так, расходы на потребление, связанные с выдачей займов (ссуд) работникам в соответствии с законодательством (в том числе на строительство жилья), отражаются в учете записью:</w:t>
      </w:r>
    </w:p>
    <w:p w:rsidR="00811506" w:rsidRPr="00811506" w:rsidRDefault="00811506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При этом возврат займов (ссуд) отражается аналогичной записью, только методом «красное сторно».</w:t>
      </w:r>
    </w:p>
    <w:p w:rsidR="00811506" w:rsidRPr="00811506" w:rsidRDefault="00811506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Какова экономическая сущность такой корреспонденции счетов, остается только догадываться. Ведь согласно той же Инструкции № 89 при предоставлении займов работникам организации используется сч. 73 «Расчеты с персоналом по прочим операциям», субсчет 73-1 «Расчеты по предоставленным займам». А приведенная выше корреспонденция счетов согласно методологии учета будет свидетельствовать о том, что по кредиту сч. 76 «Расчеты с разными дебиторами и кредиторами» числится кредиторская задолженность.</w:t>
      </w:r>
    </w:p>
    <w:p w:rsidR="00811506" w:rsidRPr="00811506" w:rsidRDefault="00811506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tbl>
      <w:tblPr>
        <w:tblW w:w="0" w:type="auto"/>
        <w:jc w:val="center"/>
        <w:tblCellSpacing w:w="-8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41"/>
        <w:gridCol w:w="1648"/>
        <w:gridCol w:w="1684"/>
      </w:tblGrid>
      <w:tr w:rsidR="00744C1C" w:rsidRPr="00811506" w:rsidTr="00811506">
        <w:trPr>
          <w:tblCellSpacing w:w="-8" w:type="dxa"/>
          <w:jc w:val="center"/>
        </w:trPr>
        <w:tc>
          <w:tcPr>
            <w:tcW w:w="476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Наименование хозяйственной операции</w:t>
            </w:r>
          </w:p>
        </w:tc>
        <w:tc>
          <w:tcPr>
            <w:tcW w:w="166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Дебет счета</w:t>
            </w:r>
          </w:p>
        </w:tc>
        <w:tc>
          <w:tcPr>
            <w:tcW w:w="1708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Кредит счета</w:t>
            </w:r>
          </w:p>
        </w:tc>
      </w:tr>
      <w:tr w:rsidR="00744C1C" w:rsidRPr="00811506" w:rsidTr="00811506">
        <w:trPr>
          <w:tblCellSpacing w:w="-8" w:type="dxa"/>
          <w:jc w:val="center"/>
        </w:trPr>
        <w:tc>
          <w:tcPr>
            <w:tcW w:w="476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«Фонд потребления»</w:t>
            </w:r>
          </w:p>
        </w:tc>
        <w:tc>
          <w:tcPr>
            <w:tcW w:w="166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84</w:t>
            </w:r>
          </w:p>
        </w:tc>
        <w:tc>
          <w:tcPr>
            <w:tcW w:w="1708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</w:tcPr>
          <w:p w:rsidR="00744C1C" w:rsidRPr="00811506" w:rsidRDefault="00744C1C" w:rsidP="008115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kern w:val="28"/>
                <w:sz w:val="20"/>
                <w:szCs w:val="20"/>
              </w:rPr>
            </w:pPr>
            <w:r w:rsidRPr="00811506">
              <w:rPr>
                <w:kern w:val="28"/>
                <w:sz w:val="20"/>
                <w:szCs w:val="20"/>
              </w:rPr>
              <w:t>76</w:t>
            </w:r>
          </w:p>
        </w:tc>
      </w:tr>
    </w:tbl>
    <w:p w:rsidR="00811506" w:rsidRDefault="00811506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Согласно новой редакции Инструкции № 89 на забалансовом сч. 004 «Товары, принятые на комиссию» на отдельном субсчете, открытом к этому счету, учитываются дисконтные карты, подтверждающие предоставление поставщиком (в том числе комитентом) финансовой скидки покупателям (в том числе комиссионерам).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Существенной новацией является введение в Типовой план счетов забалансового сч. 015 «Товары отгруженные в отпускных ценах». На практике многие организации, применяющие метод определения выручки «по оплате», самостоятельно вводили в свой план счетов забалансовые счета для учета задолженности покупателей за отгруженные товары (работы, услуги) в отпускных ценах с НДС. Теперь же такое право им предоставлено законодательством.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Для учета объектов основных средств и нематериальных активов, оборотных активов, находящихся в совместном владении (пользовании), в Типовой план счетов введен сч. 016 «Имущество, находящееся в совместном владении».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Для обобщения информации о наличии и движении в организации именных приватизационных чеков «Имущество» теперь предназначен сч. 017 «Именные приватизационные чеки "Имущество"». Данные чеки учитываются на этом счете по номинальной стоимости. При этом следует иметь в виду, что чеки «Имущество» являются ценными бумагами, а значит, подлежат учету и на сч. 58 «Финансовые вложения» по фактической цене приобретения.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В завершение отметим, что для учета движения материалов и оборудования, полученных организацией от поставщиков на гарантийный период согласно заключенным контрактам, а также переданных материалов и оборудования поставщикам на гарантийный ремонт теперь предназначен новый сч. 018 «Материалы, оборудование, принятые (переданные) в рамках гарантийных обязательств».</w:t>
      </w:r>
    </w:p>
    <w:p w:rsidR="00744C1C" w:rsidRPr="00811506" w:rsidRDefault="00744C1C" w:rsidP="0081150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kern w:val="28"/>
          <w:sz w:val="28"/>
          <w:szCs w:val="28"/>
          <w:lang w:val="en-US"/>
        </w:rPr>
      </w:pPr>
      <w:r w:rsidRPr="00811506">
        <w:rPr>
          <w:sz w:val="28"/>
          <w:szCs w:val="28"/>
        </w:rPr>
        <w:br w:type="page"/>
      </w:r>
      <w:r w:rsidRPr="00811506">
        <w:rPr>
          <w:b/>
          <w:bCs/>
          <w:kern w:val="28"/>
          <w:sz w:val="28"/>
          <w:szCs w:val="28"/>
        </w:rPr>
        <w:t>СПИСОК ИСПОЛЬЗОВАННЫХ ИСТОЧНИКОВ</w:t>
      </w:r>
    </w:p>
    <w:p w:rsidR="00744C1C" w:rsidRPr="00811506" w:rsidRDefault="00744C1C" w:rsidP="00811506">
      <w:pPr>
        <w:spacing w:line="360" w:lineRule="auto"/>
        <w:ind w:firstLine="709"/>
        <w:jc w:val="both"/>
        <w:rPr>
          <w:kern w:val="28"/>
          <w:sz w:val="28"/>
          <w:szCs w:val="28"/>
        </w:rPr>
      </w:pPr>
    </w:p>
    <w:p w:rsidR="00744C1C" w:rsidRPr="00811506" w:rsidRDefault="00744C1C" w:rsidP="0081150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Конституция Республики Беларусь. Принята на республиканском референдуме 24 ноября 1996г. ЮРИДИЧЕСКАЯ СПРАВОЧНО-ИНФОРМАЦИОННАЯ АВТОМАТИЗИРОВАННАЯ СИСТЕМА «ЮСИАС» - 2009г.</w:t>
      </w:r>
    </w:p>
    <w:p w:rsidR="00744C1C" w:rsidRPr="00811506" w:rsidRDefault="00744C1C" w:rsidP="0081150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Гражданский кодекс Республики Беларусь от 7 декабря 1998 г. № 218-З. Принят Палатой представителей 28 октября 1998 года. Одобрен Советом Республики 19 ноября 1998 года. (Ведомости Национального собрания Республики Беларусь, 1999 г., № 7-9, ст.101). ЮРИДИЧЕСКАЯ СПРАВОЧНО-ИНФОРМАЦИОННАЯ АВТОМАТИЗИРОВАННАЯ СИСТЕМА «ЮСИАС» - 2009г.</w:t>
      </w:r>
    </w:p>
    <w:p w:rsidR="00744C1C" w:rsidRPr="00811506" w:rsidRDefault="00744C1C" w:rsidP="0081150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Закон Республики Беларусь «О бухгалтерском учете и отчетности» от 18 октября 1994 года № 3321-XII  (Ведомости Верховного Совета Республики Беларусь, 1994 г., № 34, ст.566). ЮРИДИЧЕСКАЯ СПРАВОЧНО-ИНФОРМАЦИОННАЯ АВТОМАТИЗИРОВАННАЯ СИСТЕМА «ЮСИАС» - 2009г.</w:t>
      </w:r>
    </w:p>
    <w:p w:rsidR="00744C1C" w:rsidRPr="00811506" w:rsidRDefault="00744C1C" w:rsidP="0081150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Годунов В.Н. Комментарий к Гражданскому кодексу Республики Беларусь с приложением актов законодательства и судебной практики (постатейный): В 3 кн. Кн. 2. Разд. III. Общая часть обязательственного права. Раздел IV. Отдельные виды обязательств (главы 30-50) / Отв. ред. и руководитель авторского коллектива В.Ф. Чигир. – Мн.: Амалфея, 2005.</w:t>
      </w:r>
    </w:p>
    <w:p w:rsidR="00744C1C" w:rsidRPr="00811506" w:rsidRDefault="00744C1C" w:rsidP="0081150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Гражданское право: Учебник Автор: Алексеев С.С., Гонгало Б.М. М.: 2006г. – 480с.</w:t>
      </w:r>
    </w:p>
    <w:p w:rsidR="00744C1C" w:rsidRPr="00811506" w:rsidRDefault="00744C1C" w:rsidP="0081150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 xml:space="preserve">Гражданское право. </w:t>
      </w:r>
      <w:r w:rsidRPr="00811506">
        <w:rPr>
          <w:rStyle w:val="a7"/>
          <w:b w:val="0"/>
          <w:bCs w:val="0"/>
          <w:kern w:val="28"/>
          <w:sz w:val="28"/>
          <w:szCs w:val="28"/>
        </w:rPr>
        <w:t>Автор:</w:t>
      </w:r>
      <w:r w:rsidRPr="00811506">
        <w:rPr>
          <w:rStyle w:val="a7"/>
          <w:kern w:val="28"/>
          <w:sz w:val="28"/>
          <w:szCs w:val="28"/>
        </w:rPr>
        <w:t xml:space="preserve"> </w:t>
      </w:r>
      <w:r w:rsidRPr="003B1B8B">
        <w:rPr>
          <w:rStyle w:val="a7"/>
          <w:b w:val="0"/>
          <w:bCs w:val="0"/>
          <w:kern w:val="28"/>
          <w:sz w:val="28"/>
          <w:szCs w:val="28"/>
        </w:rPr>
        <w:t>"Фоков А.П., Попонов Ю.Г., Черкашина И.Л. и др."</w:t>
      </w:r>
      <w:r w:rsidRPr="00811506">
        <w:rPr>
          <w:kern w:val="28"/>
          <w:sz w:val="28"/>
          <w:szCs w:val="28"/>
        </w:rPr>
        <w:t xml:space="preserve"> Издательство: </w:t>
      </w:r>
      <w:r w:rsidRPr="003B1B8B">
        <w:rPr>
          <w:kern w:val="28"/>
          <w:sz w:val="28"/>
          <w:szCs w:val="28"/>
        </w:rPr>
        <w:t>"КноРус"</w:t>
      </w:r>
      <w:r w:rsidRPr="00811506">
        <w:rPr>
          <w:kern w:val="28"/>
          <w:sz w:val="28"/>
          <w:szCs w:val="28"/>
        </w:rPr>
        <w:t>. 2008.</w:t>
      </w:r>
    </w:p>
    <w:p w:rsidR="00744C1C" w:rsidRPr="00811506" w:rsidRDefault="00744C1C" w:rsidP="0081150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Колбасин Д.А. Гражданское право. Общая часть. - Мн.: ПолиБиг. По заказу общественного объединения «Молодежное научное общество». 1999. - 360с.</w:t>
      </w:r>
    </w:p>
    <w:p w:rsidR="00744C1C" w:rsidRPr="00811506" w:rsidRDefault="00744C1C" w:rsidP="0081150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Хозяйственное право Республики Беларусь: Практическое пособие / С. С. Вабищевич. – Мн.: Молодежное науч. об-во, 2002. – 398с.</w:t>
      </w:r>
    </w:p>
    <w:p w:rsidR="00744C1C" w:rsidRPr="00811506" w:rsidRDefault="00744C1C" w:rsidP="0081150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kern w:val="28"/>
          <w:sz w:val="28"/>
          <w:szCs w:val="28"/>
        </w:rPr>
      </w:pPr>
      <w:r w:rsidRPr="00811506">
        <w:rPr>
          <w:kern w:val="28"/>
          <w:sz w:val="28"/>
          <w:szCs w:val="28"/>
        </w:rPr>
        <w:t>Хозяйственное право Республики Беларусь. Особенная часть. Практ. пособие – Мн.: «МНО», 2001. – 318с.</w:t>
      </w:r>
      <w:bookmarkStart w:id="0" w:name="_GoBack"/>
      <w:bookmarkEnd w:id="0"/>
    </w:p>
    <w:sectPr w:rsidR="00744C1C" w:rsidRPr="00811506" w:rsidSect="00811506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128" w:rsidRDefault="00934128">
      <w:r>
        <w:separator/>
      </w:r>
    </w:p>
  </w:endnote>
  <w:endnote w:type="continuationSeparator" w:id="0">
    <w:p w:rsidR="00934128" w:rsidRDefault="0093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128" w:rsidRDefault="00934128">
      <w:r>
        <w:separator/>
      </w:r>
    </w:p>
  </w:footnote>
  <w:footnote w:type="continuationSeparator" w:id="0">
    <w:p w:rsidR="00934128" w:rsidRDefault="00934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23" w:rsidRDefault="003B1B8B" w:rsidP="00A41782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B31D23" w:rsidRDefault="00B31D23" w:rsidP="00B31D2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13EF7"/>
    <w:multiLevelType w:val="singleLevel"/>
    <w:tmpl w:val="A11072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/>
        <w:b w:val="0"/>
        <w:bCs w:val="0"/>
        <w:i w:val="0"/>
        <w:iCs w:val="0"/>
        <w:sz w:val="28"/>
        <w:szCs w:val="28"/>
      </w:rPr>
    </w:lvl>
  </w:abstractNum>
  <w:abstractNum w:abstractNumId="1">
    <w:nsid w:val="56746055"/>
    <w:multiLevelType w:val="multilevel"/>
    <w:tmpl w:val="3AF394DD"/>
    <w:lvl w:ilvl="0">
      <w:numFmt w:val="bullet"/>
      <w:lvlText w:val="·"/>
      <w:lvlJc w:val="left"/>
      <w:pPr>
        <w:tabs>
          <w:tab w:val="num" w:pos="825"/>
        </w:tabs>
        <w:ind w:left="825" w:hanging="150"/>
      </w:pPr>
      <w:rPr>
        <w:rFonts w:ascii="Tahoma" w:hAnsi="Tahoma" w:cs="Tahoma"/>
        <w:b/>
        <w:bCs/>
        <w:color w:val="000080"/>
        <w:sz w:val="16"/>
        <w:szCs w:val="16"/>
      </w:rPr>
    </w:lvl>
    <w:lvl w:ilvl="1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2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3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4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5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6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7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8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</w:abstractNum>
  <w:abstractNum w:abstractNumId="2">
    <w:nsid w:val="7F6E9CF7"/>
    <w:multiLevelType w:val="multilevel"/>
    <w:tmpl w:val="5E769E30"/>
    <w:lvl w:ilvl="0">
      <w:numFmt w:val="bullet"/>
      <w:lvlText w:val="·"/>
      <w:lvlJc w:val="left"/>
      <w:pPr>
        <w:tabs>
          <w:tab w:val="num" w:pos="825"/>
        </w:tabs>
        <w:ind w:left="825" w:hanging="150"/>
      </w:pPr>
      <w:rPr>
        <w:rFonts w:ascii="Tahoma" w:hAnsi="Tahoma" w:cs="Tahoma"/>
        <w:b/>
        <w:bCs/>
        <w:color w:val="000080"/>
        <w:sz w:val="16"/>
        <w:szCs w:val="16"/>
      </w:rPr>
    </w:lvl>
    <w:lvl w:ilvl="1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2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3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4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5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6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7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8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D23"/>
    <w:rsid w:val="003B1B8B"/>
    <w:rsid w:val="003E666A"/>
    <w:rsid w:val="00744C1C"/>
    <w:rsid w:val="007871F3"/>
    <w:rsid w:val="007E5634"/>
    <w:rsid w:val="00811506"/>
    <w:rsid w:val="00934128"/>
    <w:rsid w:val="00997751"/>
    <w:rsid w:val="00A41782"/>
    <w:rsid w:val="00B31D23"/>
    <w:rsid w:val="00C9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B79DF4B-FD8E-49F6-9370-AEC49976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C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1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B31D23"/>
  </w:style>
  <w:style w:type="character" w:styleId="a6">
    <w:name w:val="Hyperlink"/>
    <w:uiPriority w:val="99"/>
    <w:rsid w:val="00744C1C"/>
    <w:rPr>
      <w:color w:val="0000FF"/>
      <w:u w:val="single"/>
    </w:rPr>
  </w:style>
  <w:style w:type="character" w:styleId="a7">
    <w:name w:val="Strong"/>
    <w:uiPriority w:val="99"/>
    <w:qFormat/>
    <w:rsid w:val="00744C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2849</Words>
  <Characters>16242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 В ТИПОВОЙ ПЛАН СЧЕТОВ БУХГАЛТЕРСКОГО УЧЕТА</vt:lpstr>
    </vt:vector>
  </TitlesOfParts>
  <Company>Microsoft</Company>
  <LinksUpToDate>false</LinksUpToDate>
  <CharactersWithSpaces>19053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В ТИПОВОЙ ПЛАН СЧЕТОВ БУХГАЛТЕРСКОГО УЧЕТА</dc:title>
  <dc:subject/>
  <dc:creator>Admin</dc:creator>
  <cp:keywords/>
  <dc:description/>
  <cp:lastModifiedBy>admin</cp:lastModifiedBy>
  <cp:revision>2</cp:revision>
  <dcterms:created xsi:type="dcterms:W3CDTF">2014-03-03T18:41:00Z</dcterms:created>
  <dcterms:modified xsi:type="dcterms:W3CDTF">2014-03-03T18:41:00Z</dcterms:modified>
</cp:coreProperties>
</file>