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26" w:rsidRPr="006F0186" w:rsidRDefault="001D4726" w:rsidP="001D4726">
      <w:pPr>
        <w:spacing w:before="120"/>
        <w:jc w:val="center"/>
        <w:rPr>
          <w:b/>
          <w:bCs/>
          <w:sz w:val="32"/>
          <w:szCs w:val="32"/>
        </w:rPr>
      </w:pPr>
      <w:r w:rsidRPr="006F0186">
        <w:rPr>
          <w:b/>
          <w:bCs/>
          <w:sz w:val="32"/>
          <w:szCs w:val="32"/>
        </w:rPr>
        <w:t>Симфоническое творчество Глазунова</w:t>
      </w:r>
    </w:p>
    <w:p w:rsidR="001D4726" w:rsidRDefault="001D4726" w:rsidP="001D4726">
      <w:pPr>
        <w:spacing w:before="120"/>
        <w:ind w:firstLine="567"/>
        <w:jc w:val="both"/>
      </w:pPr>
      <w:r w:rsidRPr="000A2A61">
        <w:t>Симфоническая музыка занимает центральное место в наследии Глазунова. В ней ярко воплощены типичные черты его -стиля. В симфонических произведениях Глазунова нашли выражение его связи с традициями симфонизма композиторов Могучей кучки (в первую очередь Бородина). Наряду с этим в сочинениях зрелого периода сказалось усвоение некоторых элементов симфонизма Чайковского.</w:t>
      </w:r>
    </w:p>
    <w:p w:rsidR="001D4726" w:rsidRDefault="001D4726" w:rsidP="001D4726">
      <w:pPr>
        <w:spacing w:before="120"/>
        <w:ind w:firstLine="567"/>
        <w:jc w:val="both"/>
      </w:pPr>
      <w:r w:rsidRPr="000A2A61">
        <w:t>Симфоническое наследие Глазунова включает в себя различные типы произведений - от монументальных симфоний до небольших пьес.</w:t>
      </w:r>
    </w:p>
    <w:p w:rsidR="001D4726" w:rsidRDefault="001D4726" w:rsidP="001D4726">
      <w:pPr>
        <w:spacing w:before="120"/>
        <w:ind w:firstLine="567"/>
        <w:jc w:val="both"/>
      </w:pPr>
      <w:r w:rsidRPr="000A2A61">
        <w:t>Из восьми симфоний Глазунова две первые относятся к раннему периоду. Первая симфония носит светло-жизнерадостный, несколько пасторальный характер, в ней нашли отражение впечатления летней природы, сельской обстановки. Финал рисует картину народного праздничного веселья. В скерцо и в финале использованы две польские народные темы; славянский характер ощущается и в некоторых других темах этой симфонии, которую композитор первоначально хотел даже назвать "Славянской". Вторая симфония более эпически-монументальна. В ней наиболее отчетливо сказалось влияние Бородина, особенно в несколько суровой по выражению первой части и в финале. Лирическая медленная часть, имеющая отчасти восточную окраску, приближается к родственным образам Бородина и Балакирева.</w:t>
      </w:r>
    </w:p>
    <w:p w:rsidR="001D4726" w:rsidRDefault="001D4726" w:rsidP="001D4726">
      <w:pPr>
        <w:spacing w:before="120"/>
        <w:ind w:firstLine="567"/>
        <w:jc w:val="both"/>
      </w:pPr>
      <w:r w:rsidRPr="000A2A61">
        <w:t>В Третьей симфонии кучкистские традиции сочетаются с некоторым влиянием Чайковского и частично Вагнера. Она имеет значение переходного этапа к зрелым глазуновским симфониям.</w:t>
      </w:r>
    </w:p>
    <w:p w:rsidR="001D4726" w:rsidRDefault="001D4726" w:rsidP="001D4726">
      <w:pPr>
        <w:spacing w:before="120"/>
        <w:ind w:firstLine="567"/>
        <w:jc w:val="both"/>
      </w:pPr>
      <w:r w:rsidRPr="000A2A61">
        <w:t>В Четвертой симфонии (1893) полностью определился характерный для Глазунова лирико-эпический тип симфонизма. Спокойно-созерцательной лирикой, то радостно-светлой, то задушевно-элегической, проникнута первая часть. Общий колорит жизнерадостного, искрящегося скерцо определяют "охотничьи", "роговые" интонации. Очень типичен для Глазунова празднично-ожив.лен-ный финал симфонии, основная тема которого носит характер торжественного шествия. Показательно также появление в симфонии танцевальных элементов: вальса в среднем разделе скерцо и танцевальной ритмической трансформации главной партии первой части в финале (в котором проходят все темы предыдущих частей); здесь уже предвосхищается стиль глазуновской балетной музыки. В Четвертой симфонии всего три части: отсутствует медленная часть, возмещаемая медленным лирическим обрамлением первой части и таким же вступлением к финалу.</w:t>
      </w:r>
    </w:p>
    <w:p w:rsidR="001D4726" w:rsidRDefault="001D4726" w:rsidP="001D4726">
      <w:pPr>
        <w:spacing w:before="120"/>
        <w:ind w:firstLine="567"/>
        <w:jc w:val="both"/>
      </w:pPr>
      <w:r w:rsidRPr="000A2A61">
        <w:t>Пятая и Шестая симфонии (1895-1896) принадлежат к ярчайшим и наиболее широко известным образцам симфонизма Глазунова. Пятая выделяется глубоко-оптимистическим строем. В Шестой Глазунов впервые затрагивает драматически-патетическую сферу образов, претворяя по-своему черты драматического симфонизма Чайковского.</w:t>
      </w:r>
    </w:p>
    <w:p w:rsidR="001D4726" w:rsidRDefault="001D4726" w:rsidP="001D4726">
      <w:pPr>
        <w:spacing w:before="120"/>
        <w:ind w:firstLine="567"/>
        <w:jc w:val="both"/>
      </w:pPr>
      <w:r w:rsidRPr="000A2A61">
        <w:t>В двух последних симфониях, созданных в начале 900-х годов, намечается усложнение содержания. В Седьмой особенно выделяется сурово-сосредоточенная медленная вторая часть; она противопоставлена беспечной пасторальности первой и следующему за ней радостно-возбужденному скерцо. В медленной части и в завершающем симфонию массивном, величаво-торжественном финале особенно проявилось огромное полифоническое мастерство Глазунова. Сам композитор признавал, что достижениями в этой области он во многом обязан знакомству с творчеством Танеева.</w:t>
      </w:r>
    </w:p>
    <w:p w:rsidR="001D4726" w:rsidRDefault="001D4726" w:rsidP="001D4726">
      <w:pPr>
        <w:spacing w:before="120"/>
        <w:ind w:firstLine="567"/>
        <w:jc w:val="both"/>
      </w:pPr>
      <w:r w:rsidRPr="000A2A61">
        <w:t>Восьмая симфония - наиболее монументальное из произведений Глазунова. При большой контрастности частей она отличается одновременно единством, последовательностью развития цикла. Музыка первой части возвышенно-величава и романтически приподнята. Медленная часть проникнута глубоко-скорбными переживаниями. Причудливое, стремительное и неуловимое движение скерцо носит тревожный, даже несколько зловещий оттенок. В финале происходит преодоление сумрачных образов медленной части и скерцо и утверждается идея конечного торжества света.</w:t>
      </w:r>
    </w:p>
    <w:p w:rsidR="001D4726" w:rsidRDefault="001D4726" w:rsidP="001D4726">
      <w:pPr>
        <w:spacing w:before="120"/>
        <w:ind w:firstLine="567"/>
        <w:jc w:val="both"/>
      </w:pPr>
      <w:r w:rsidRPr="000A2A61">
        <w:t>Кроме симфоний, Глазуновым создано большое число программных симфонических произведений. В тяготении к этому жанру тоже проявилась его связь с традициями русской классики. Содержание этих произведений разнообразно: национально-историческая и героико-эпическая тематика отражена в поэме "Стенька Разин", в сюите "Кремль", в элегии "Памяти героя"; впечатлениями природы навеяны фантазии "Аес", "Море" и симфоническая картина "Весна"; зарисовкам из жизни, быта различных народов и эпох посвящены сюиты "Восточная рапсодия", "Из средних веков", увертюра "Карнавал". Интерес Глазунова к музыкальной культуре других народов сказался также в создании двух увертюр на греческие темы, пьесы "Славянский праздник",1 "Финской фантазии", "Финских эскизов", "Карельской легенды" и других сочинений.</w:t>
      </w:r>
    </w:p>
    <w:p w:rsidR="001D4726" w:rsidRDefault="001D4726" w:rsidP="001D4726">
      <w:pPr>
        <w:spacing w:before="120"/>
        <w:ind w:firstLine="567"/>
        <w:jc w:val="both"/>
      </w:pPr>
      <w:r w:rsidRPr="000A2A61">
        <w:t xml:space="preserve">Столь свойственное Глазунову выражение светлой праздничности, характерное для финалов его симфоний, нашло отражение в таких произведениях, как "Торжественная увертюра", "Торжественное шествие", "Свадебное шествие", "Торжественный марш". Танцевальность, помимо балетов, представлена концертными вальсами, мазуркой, балетными сюитами и иными пьесами. К выдающимся достижениям глазуновского симфонизма относятся и его пять инструментальных концертов, из которых особенно ценны Концерт для скрипки и Первый концерт для фортепиано с оркестром.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4726"/>
    <w:rsid w:val="000A2A61"/>
    <w:rsid w:val="001D4726"/>
    <w:rsid w:val="002F1D7C"/>
    <w:rsid w:val="00616072"/>
    <w:rsid w:val="006F0186"/>
    <w:rsid w:val="008767AD"/>
    <w:rsid w:val="008B35EE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2F441E7-D714-4B7C-92F8-2BC13D17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72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1D47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3217</Words>
  <Characters>1835</Characters>
  <Application>Microsoft Office Word</Application>
  <DocSecurity>0</DocSecurity>
  <Lines>15</Lines>
  <Paragraphs>10</Paragraphs>
  <ScaleCrop>false</ScaleCrop>
  <Company>Home</Company>
  <LinksUpToDate>false</LinksUpToDate>
  <CharactersWithSpaces>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Симфоническое творчество Глазунова</dc:title>
  <dc:subject/>
  <dc:creator>User</dc:creator>
  <cp:keywords/>
  <dc:description/>
  <cp:lastModifiedBy>admin</cp:lastModifiedBy>
  <cp:revision>2</cp:revision>
  <dcterms:created xsi:type="dcterms:W3CDTF">2014-01-25T12:31:00Z</dcterms:created>
  <dcterms:modified xsi:type="dcterms:W3CDTF">2014-01-25T12:31:00Z</dcterms:modified>
</cp:coreProperties>
</file>