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B0" w:rsidRDefault="000003ED">
      <w:pPr>
        <w:pStyle w:val="1"/>
        <w:jc w:val="center"/>
      </w:pPr>
      <w:r>
        <w:t>Возможность использования надземной части полыней, произрастающих на территории Томской области, в качестве источника макро- и микроэлементов</w:t>
      </w:r>
    </w:p>
    <w:p w:rsidR="00CB53B0" w:rsidRPr="000003ED" w:rsidRDefault="000003ED">
      <w:pPr>
        <w:pStyle w:val="a3"/>
      </w:pPr>
      <w:r>
        <w:t> </w:t>
      </w:r>
    </w:p>
    <w:p w:rsidR="00CB53B0" w:rsidRDefault="000003ED">
      <w:pPr>
        <w:pStyle w:val="a3"/>
      </w:pPr>
      <w:r>
        <w:t>Федько Ирина Валерьевна</w:t>
      </w:r>
    </w:p>
    <w:p w:rsidR="00CB53B0" w:rsidRDefault="000003ED">
      <w:pPr>
        <w:pStyle w:val="a3"/>
      </w:pPr>
      <w:r>
        <w:t>Китапова Рашида Равильевна</w:t>
      </w:r>
    </w:p>
    <w:p w:rsidR="00CB53B0" w:rsidRDefault="000003ED">
      <w:pPr>
        <w:pStyle w:val="a3"/>
      </w:pPr>
      <w:r>
        <w:t>Методом нейтронно-активационного анализа установлено содержание 15 элементов в полыни, произрастающей на территории Томской области. Методом спектрофотометрического анализа, основанного на способности кремниевой кислоты давать с ионами молибдена в кислой среде растворимую кремнемолибденовую кислоту, определено количественное содержание кремния. Установлено, что трава полыней содержит важные биогенные элементы, необходимые для лечения и профилактики различных заболеваний, в том числе туберкулеза легких. Данный факт позволяет включить виды полыни в список растений, предлагаемых к применению при комплексной терапии туберкулеза легких</w:t>
      </w:r>
    </w:p>
    <w:p w:rsidR="00CB53B0" w:rsidRDefault="000003ED">
      <w:pPr>
        <w:pStyle w:val="a3"/>
      </w:pPr>
      <w:r>
        <w:t>С давних времен человек использовал растения для лечения самых различных заболеваний. В современной клинике внутренних болезней происходят сложные процессы переоценки способов лечения. Лечение больных в настоящее время значительно усложнилось, лечить стало труднее.</w:t>
      </w:r>
    </w:p>
    <w:p w:rsidR="00CB53B0" w:rsidRDefault="000003ED">
      <w:pPr>
        <w:pStyle w:val="a3"/>
      </w:pPr>
      <w:r>
        <w:t>Терапия приобретает зачастую опасный характер за счет учащающихся побочных эффектов лекарств, развития непереносимости к ним. В связи с этим справедливо предлагается развивать иные, немедикаментозные, методы лечения. Одно из первых мест в их ряду по праву может занять фитотерапия. Фитотерапия — это лечение лекарственными растениями. Однако в настоящее время интерес представляют не только традиционные лекарственные растения, но и родственные им виды, в которых на основании систематических связей предполагается наличие веществ аналогичного состава и действия.</w:t>
      </w:r>
    </w:p>
    <w:p w:rsidR="00CB53B0" w:rsidRDefault="000003ED">
      <w:pPr>
        <w:pStyle w:val="a3"/>
      </w:pPr>
      <w:r>
        <w:t>В качестве лекарственных растений в мире используется около 23 000 видов растений, что составляет примерно 7 % мировой флоры. Широта использования лекарственных видов и степень их изученности различны [1].</w:t>
      </w:r>
    </w:p>
    <w:p w:rsidR="00CB53B0" w:rsidRDefault="000003ED">
      <w:pPr>
        <w:pStyle w:val="a3"/>
      </w:pPr>
      <w:r>
        <w:t>Важное место, где особенно эффективны методы фитотерапии, занимают заболевания органов дыхания. В структуре общей заболеваемости населения Российской Федерации они стабильно занимают первое место, как у взрослых, так и детей с тенденцией к неуклонному росту на фоне общего ухудшения состояния их здоровья. Одним из наиболее часто встречающихся и опасных является туберкулез легких. Туберкулез — это хронически текущий инфекционный процесс, который зависит от величины и постоянства бациллярного ядра, благоприятных условий беспрепятственной циркуляции возбудителя, а в первую очередь — от уровня резистентности к туберкулезу не только отдельных людей, но и целых популяций. Одна из причин туберкулёза — минеральное голодание тканей тела из-за потребления пищи, в которой содержится недостаточное количество минералов, особенно кальция. В значительной степени туберкулез — болезнь недостаточности макро- и микроэлементов. Поэтому целью нашей работы явилось скрининговое изучение элементного состава полыней (семейство Asteraceae), произрастающих на территории Томской области.</w:t>
      </w:r>
    </w:p>
    <w:p w:rsidR="00CB53B0" w:rsidRDefault="000003ED">
      <w:pPr>
        <w:pStyle w:val="a3"/>
      </w:pPr>
      <w:r>
        <w:t>Экспериментальная часть</w:t>
      </w:r>
    </w:p>
    <w:p w:rsidR="00CB53B0" w:rsidRDefault="000003ED">
      <w:pPr>
        <w:pStyle w:val="a3"/>
      </w:pPr>
      <w:r>
        <w:t>Таблица 1</w:t>
      </w:r>
    </w:p>
    <w:p w:rsidR="00CB53B0" w:rsidRDefault="000003ED">
      <w:pPr>
        <w:pStyle w:val="a3"/>
      </w:pPr>
      <w:r>
        <w:t>Содержание кремния в исследуемых образцах, %</w:t>
      </w:r>
    </w:p>
    <w:p w:rsidR="00CB53B0" w:rsidRDefault="000003ED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CB53B0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Полынь горькая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Полынь обыкновенная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Полынь Сиверса</w:t>
            </w:r>
          </w:p>
        </w:tc>
      </w:tr>
      <w:tr w:rsidR="00CB53B0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0,066±0,010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0,071±0,014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0,039,07±0,012</w:t>
            </w:r>
          </w:p>
        </w:tc>
      </w:tr>
    </w:tbl>
    <w:p w:rsidR="00CB53B0" w:rsidRPr="000003ED" w:rsidRDefault="000003ED">
      <w:pPr>
        <w:pStyle w:val="a3"/>
      </w:pPr>
      <w:r>
        <w:t>В качестве объектов исследования взяты образцы: полыни горькой, полыни обыкновенной и полыни Сиверса.</w:t>
      </w:r>
    </w:p>
    <w:p w:rsidR="00CB53B0" w:rsidRDefault="000003ED">
      <w:pPr>
        <w:pStyle w:val="a3"/>
      </w:pPr>
      <w:r>
        <w:t>Полынь горькая — Artemisia absintium L, содержит ароматические горечи, ведущей группой является эфирное масло, в составе которого доминируют бициклические монотерпены.</w:t>
      </w:r>
    </w:p>
    <w:p w:rsidR="00CB53B0" w:rsidRDefault="000003ED">
      <w:pPr>
        <w:pStyle w:val="a3"/>
      </w:pPr>
      <w:r>
        <w:t>Полынь обыкновенная — Artemisia vulgaris L., содержит флавоноиды рутин, квер- цетин, производные кумаринов и эфирные масла. Используют в качестве средства, повышающего аппетит (горечь).</w:t>
      </w:r>
    </w:p>
    <w:p w:rsidR="00CB53B0" w:rsidRDefault="000003ED">
      <w:pPr>
        <w:pStyle w:val="a3"/>
      </w:pPr>
      <w:r>
        <w:t>Полынь Сиверса — Artemisia siever- siana Willd. В виде настоев и отваров траву и соцветия широко используют в народной медицине, тибетской медицине при кашле и бронхитах.</w:t>
      </w:r>
    </w:p>
    <w:p w:rsidR="00CB53B0" w:rsidRDefault="000003ED">
      <w:pPr>
        <w:pStyle w:val="a3"/>
      </w:pPr>
      <w:r>
        <w:t>Все предложенные объекты были собраны в одинаковых экологических условиях, в окрестностях пос. Аникино (смешанный лес), в Томской области.</w:t>
      </w:r>
    </w:p>
    <w:p w:rsidR="00CB53B0" w:rsidRDefault="000003ED">
      <w:pPr>
        <w:pStyle w:val="a3"/>
      </w:pPr>
      <w:r>
        <w:t>Количественное определение соединений кремния проводили спектрофотометрическим методом, основанным на способности кремниевой кислоты давать с ионами молибдена в кислой среде (pH = 1,5 1,7) растворимую кремнемолибденовую кислоту [3]-</w:t>
      </w:r>
    </w:p>
    <w:p w:rsidR="00CB53B0" w:rsidRDefault="000003ED">
      <w:pPr>
        <w:pStyle w:val="a3"/>
      </w:pPr>
      <w:r>
        <w:t>Содержание химических элементов определяли нейтронно-активационным методом (НАА). Высушенное растительное сырье предварительно озоляли в фарфоровых тиглях при температуре 300...350 C до постоянной массы. Затем навеску золы (не менее 100 мг) упаковывали в алюминиевую фольгу и делали анализ. Пробу облучали потоком нейтронов при плотности 2 х1013 нейтр/см2 с в течение 6 ч. Наведенный у-спектр исследовали дважды: среднеживу- щие определяли через 7 сут, долгоживущие — через 25 сут. Выбор анализируемых элементов прежде всего определяли методом НАА [4]. Результаты обработаны методом математической статистики [5].</w:t>
      </w:r>
    </w:p>
    <w:p w:rsidR="00CB53B0" w:rsidRDefault="000003ED">
      <w:pPr>
        <w:pStyle w:val="a3"/>
      </w:pPr>
      <w:r>
        <w:t>Обсуждение результатов</w:t>
      </w:r>
    </w:p>
    <w:p w:rsidR="00CB53B0" w:rsidRDefault="000003ED">
      <w:pPr>
        <w:pStyle w:val="a3"/>
      </w:pPr>
      <w:r>
        <w:t>Количественное содержание кремния представлено в табл. 1, % от массы сухого вещества.</w:t>
      </w:r>
    </w:p>
    <w:p w:rsidR="00CB53B0" w:rsidRDefault="000003ED">
      <w:pPr>
        <w:pStyle w:val="a3"/>
      </w:pPr>
      <w:r>
        <w:t>Показатель количественного содержания кремния варьирует в пределах среднего значения содержания кремния в растениях [6], за счет его присутствия можно прогнозировать выраженную способность полыней положительно влиять на восстановление соединительной ткани легких.</w:t>
      </w:r>
    </w:p>
    <w:p w:rsidR="00CB53B0" w:rsidRDefault="000003ED">
      <w:pPr>
        <w:pStyle w:val="a3"/>
      </w:pPr>
      <w:r>
        <w:t>Анализируемые химические элементы были разделены с учетом их роли в физиологии растительного организма [7].</w:t>
      </w:r>
    </w:p>
    <w:p w:rsidR="00CB53B0" w:rsidRDefault="000003ED">
      <w:pPr>
        <w:pStyle w:val="a3"/>
      </w:pPr>
      <w:r>
        <w:t>группа 1 — биогенные элементы: K, Ca, Co, Fe, Na, Zn;</w:t>
      </w:r>
    </w:p>
    <w:p w:rsidR="00CB53B0" w:rsidRDefault="000003ED">
      <w:pPr>
        <w:pStyle w:val="a3"/>
      </w:pPr>
      <w:r>
        <w:t>группа 2 — элементы с преобладающим токсическим действием на растительный организм: Ag, Ba, Br, Cr , Sr.</w:t>
      </w:r>
    </w:p>
    <w:p w:rsidR="00CB53B0" w:rsidRDefault="000003ED">
      <w:pPr>
        <w:pStyle w:val="a3"/>
      </w:pPr>
      <w:r>
        <w:t>В табл. 2 приведены сравнительные данные содержания основых микроэлементов в полынях.</w:t>
      </w:r>
    </w:p>
    <w:p w:rsidR="00CB53B0" w:rsidRDefault="000003ED">
      <w:pPr>
        <w:pStyle w:val="a3"/>
      </w:pPr>
      <w:r>
        <w:t>Таблица 2</w:t>
      </w:r>
    </w:p>
    <w:p w:rsidR="00CB53B0" w:rsidRDefault="000003ED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0"/>
        <w:gridCol w:w="120"/>
        <w:gridCol w:w="120"/>
        <w:gridCol w:w="120"/>
      </w:tblGrid>
      <w:tr w:rsidR="00CB53B0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B53B0" w:rsidRDefault="000003ED">
            <w:r>
              <w:t>Элемент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B53B0" w:rsidRDefault="000003ED">
            <w:r>
              <w:t>Содержание макро- и микроэлементов в образцах, % от массы сухого остатка</w:t>
            </w:r>
          </w:p>
        </w:tc>
      </w:tr>
      <w:tr w:rsidR="00CB53B0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B53B0" w:rsidRDefault="00CB53B0"/>
        </w:tc>
        <w:tc>
          <w:tcPr>
            <w:tcW w:w="0" w:type="auto"/>
            <w:vAlign w:val="center"/>
            <w:hideMark/>
          </w:tcPr>
          <w:p w:rsidR="00CB53B0" w:rsidRDefault="000003ED">
            <w:r>
              <w:t>полынь горькая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полынь обыкновенная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полынь Сиверса</w:t>
            </w:r>
          </w:p>
        </w:tc>
      </w:tr>
      <w:tr w:rsidR="00CB53B0">
        <w:trPr>
          <w:trHeight w:val="225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CB53B0" w:rsidRDefault="000003ED">
            <w:r>
              <w:t>Элементы 1-й группы</w:t>
            </w:r>
          </w:p>
        </w:tc>
      </w:tr>
      <w:tr w:rsidR="00CB53B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K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35,210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13,640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29,200</w:t>
            </w:r>
          </w:p>
        </w:tc>
      </w:tr>
      <w:tr w:rsidR="00CB53B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Ca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7,330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8,520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12,130</w:t>
            </w:r>
          </w:p>
        </w:tc>
      </w:tr>
      <w:tr w:rsidR="00CB53B0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Co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1,108 х 10-4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2,316х10-4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4,003 х10-4</w:t>
            </w:r>
          </w:p>
        </w:tc>
      </w:tr>
      <w:tr w:rsidR="00CB53B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Fe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0,142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0,430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0,379</w:t>
            </w:r>
          </w:p>
        </w:tc>
      </w:tr>
      <w:tr w:rsidR="00CB53B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Na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0,877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0,422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0,263</w:t>
            </w:r>
          </w:p>
        </w:tc>
      </w:tr>
      <w:tr w:rsidR="00CB53B0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Zn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406,920 х10-4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421,85 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607,17х 10-4</w:t>
            </w:r>
          </w:p>
        </w:tc>
      </w:tr>
      <w:tr w:rsidR="00CB53B0">
        <w:trPr>
          <w:trHeight w:val="225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CB53B0" w:rsidRDefault="000003ED">
            <w:r>
              <w:t>Элементы 2-й группы</w:t>
            </w:r>
          </w:p>
        </w:tc>
      </w:tr>
      <w:tr w:rsidR="00CB53B0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Ag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0,913х10-4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0,050х10-4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0,020 х10-4</w:t>
            </w:r>
          </w:p>
        </w:tc>
      </w:tr>
      <w:tr w:rsidR="00CB53B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Ba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76,000х10-4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85,000х 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162,000х10-4</w:t>
            </w:r>
          </w:p>
        </w:tc>
      </w:tr>
      <w:tr w:rsidR="00CB53B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Br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11,980 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12,458 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162,280 хЮ-4</w:t>
            </w:r>
          </w:p>
        </w:tc>
      </w:tr>
      <w:tr w:rsidR="00CB53B0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Cr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2,940 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9,210х 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10,200 х10-4</w:t>
            </w:r>
          </w:p>
        </w:tc>
      </w:tr>
      <w:tr w:rsidR="00CB53B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Sr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447,000 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432,000 хЮ-4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401,000х 10-4</w:t>
            </w:r>
          </w:p>
        </w:tc>
      </w:tr>
      <w:tr w:rsidR="00CB53B0">
        <w:trPr>
          <w:trHeight w:val="225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CB53B0" w:rsidRDefault="000003ED">
            <w:r>
              <w:t>Элементы 3-й группы</w:t>
            </w:r>
          </w:p>
        </w:tc>
      </w:tr>
      <w:tr w:rsidR="00CB53B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As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0,030х10-4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0,900х10-4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1,090х 10-4</w:t>
            </w:r>
          </w:p>
        </w:tc>
      </w:tr>
      <w:tr w:rsidR="00CB53B0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Sb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0,066 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1,044 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1,049 х 10-4</w:t>
            </w:r>
          </w:p>
        </w:tc>
      </w:tr>
      <w:tr w:rsidR="00CB53B0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Th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0,218х 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0,536х10-4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0,718х 10-4</w:t>
            </w:r>
          </w:p>
        </w:tc>
      </w:tr>
      <w:tr w:rsidR="00CB53B0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U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53B0" w:rsidRDefault="000003ED">
            <w:r>
              <w:t>0,006х10-4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0,007 х 10-4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0,065 х10-4</w:t>
            </w:r>
          </w:p>
        </w:tc>
      </w:tr>
      <w:tr w:rsidR="00CB53B0">
        <w:trPr>
          <w:tblCellSpacing w:w="0" w:type="dxa"/>
        </w:trPr>
        <w:tc>
          <w:tcPr>
            <w:tcW w:w="0" w:type="auto"/>
            <w:vAlign w:val="center"/>
            <w:hideMark/>
          </w:tcPr>
          <w:p w:rsidR="00CB53B0" w:rsidRDefault="000003ED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B53B0" w:rsidRDefault="000003ED">
            <w:r>
              <w:t> </w:t>
            </w:r>
          </w:p>
        </w:tc>
      </w:tr>
    </w:tbl>
    <w:p w:rsidR="00CB53B0" w:rsidRPr="000003ED" w:rsidRDefault="000003ED">
      <w:pPr>
        <w:pStyle w:val="a3"/>
      </w:pPr>
      <w:r>
        <w:t>Содержание макро- и микроэлементов в исследуемых образцах, % от массы сухого остатка</w:t>
      </w:r>
    </w:p>
    <w:p w:rsidR="00CB53B0" w:rsidRDefault="000003ED">
      <w:pPr>
        <w:pStyle w:val="a3"/>
      </w:pPr>
      <w:r>
        <w:t>Результаты анализа, представленные в табл. 2, показали, что полыни, произрастающие на территории Томской области, содержат элементы трех групп. Исследуемые образцы богаты Na, K, Ca, Zn, Fe и Co. Содержание Fe варьирует в пределах 0,142 (полынь горькая).0,430 % (полынь обыкновенная) , что может положительно сказаться на процессах кроветворения в организме. Трава полыни богата Na (до 0,877 %) и К (до 35,210 % в полыни горькой) , которые активно поддерживают ионное равновесие и проницаемость клеточных мембран [8,9]. Микроэлементы Co, Zn входят в состав металлофермен- тов, учувствуют в процессе кроветворения. Co является составной частью витамина</w:t>
      </w:r>
    </w:p>
    <w:p w:rsidR="00CB53B0" w:rsidRDefault="000003ED">
      <w:pPr>
        <w:pStyle w:val="a3"/>
      </w:pPr>
      <w:r>
        <w:t>В-12. Разброс содержания микроэлементов в представленных образцах невелик. Концентрация цинка не превышает допустимое значение ПДК (СанПиН 2.3.3.56096), для чаев (10 мг/кг) [10]. Содержание элементов с преобладающим токсическим действием на организм в представленных образцах незначительно, как и содержание радиоактивных элементов. Данный факт может свидетельствовать об экологической чистоте представленных образцов сырья.</w:t>
      </w:r>
    </w:p>
    <w:p w:rsidR="00CB53B0" w:rsidRDefault="000003ED">
      <w:pPr>
        <w:pStyle w:val="a3"/>
      </w:pPr>
      <w:r>
        <w:t>Выводы</w:t>
      </w:r>
    </w:p>
    <w:p w:rsidR="00CB53B0" w:rsidRDefault="000003ED">
      <w:pPr>
        <w:pStyle w:val="a3"/>
      </w:pPr>
      <w:r>
        <w:t>Таким образом, проведенные исследования элементного состава полыней показали, что они накапливают богатый комплекс биогенных химических элементов в допустимых для растений количествах, что свидетельствует об экологической чистоте сырья.</w:t>
      </w:r>
    </w:p>
    <w:p w:rsidR="00CB53B0" w:rsidRDefault="000003ED">
      <w:pPr>
        <w:pStyle w:val="a3"/>
      </w:pPr>
      <w:r>
        <w:t>Все предложенные виды полыней, произрастающих на территории Томской</w:t>
      </w:r>
    </w:p>
    <w:p w:rsidR="00CB53B0" w:rsidRDefault="000003ED">
      <w:pPr>
        <w:pStyle w:val="a3"/>
      </w:pPr>
      <w:r>
        <w:t>Список литературы</w:t>
      </w:r>
    </w:p>
    <w:p w:rsidR="00CB53B0" w:rsidRDefault="000003ED">
      <w:pPr>
        <w:pStyle w:val="a3"/>
      </w:pPr>
      <w:r>
        <w:t>Барнаулов О.Д. Фититерапия больных бронхолегочными заболеваниями. СПб: Изд-во Н-Л, 2008. 304 с.</w:t>
      </w:r>
    </w:p>
    <w:p w:rsidR="00CB53B0" w:rsidRDefault="000003ED">
      <w:pPr>
        <w:pStyle w:val="a3"/>
      </w:pPr>
      <w:r>
        <w:t>Цыбикова Э.Б., Сон И.М. Динамика показателей заболеваемости и смертности от туберкулеза в России в 2005 г. // Проблемы туберкулеза и болезней легких. 2007. № 3. С. 8-11.</w:t>
      </w:r>
    </w:p>
    <w:p w:rsidR="00CB53B0" w:rsidRDefault="000003ED">
      <w:pPr>
        <w:pStyle w:val="a3"/>
      </w:pPr>
      <w:r>
        <w:t>Коломиец Н.Э., Калинкина Г.И. Определении кремния в хвощах // Фармация. № 3. 2009. С. 13-15.</w:t>
      </w:r>
    </w:p>
    <w:p w:rsidR="00CB53B0" w:rsidRDefault="000003ED">
      <w:pPr>
        <w:pStyle w:val="a3"/>
      </w:pPr>
      <w:r>
        <w:t>Кузнецов P.A. Aктивационный анализ. 2 изд. M.: Атомиздат, 1974. 344 c.</w:t>
      </w:r>
    </w:p>
    <w:p w:rsidR="00CB53B0" w:rsidRDefault="000003ED">
      <w:pPr>
        <w:pStyle w:val="a3"/>
      </w:pPr>
      <w:r>
        <w:t>Доерфель К. Статистика в аналитической химии. М., 1969. 247 с.</w:t>
      </w:r>
    </w:p>
    <w:p w:rsidR="00CB53B0" w:rsidRDefault="000003ED">
      <w:pPr>
        <w:pStyle w:val="a3"/>
      </w:pPr>
      <w:r>
        <w:t>Кабата-Пендиас А., Пендиас Х. микроэлементы в почвах и растениях / Пер. с англ. М., 1989.</w:t>
      </w:r>
    </w:p>
    <w:p w:rsidR="00CB53B0" w:rsidRDefault="000003ED">
      <w:pPr>
        <w:pStyle w:val="a3"/>
      </w:pPr>
      <w:r>
        <w:t>Mengel К., Kirbkby E.A. Princeipels of Plant Nutrition: Dordercht. 2001. 849 p.</w:t>
      </w:r>
    </w:p>
    <w:p w:rsidR="00CB53B0" w:rsidRDefault="000003ED">
      <w:pPr>
        <w:pStyle w:val="a3"/>
      </w:pPr>
      <w:r>
        <w:t>Исаев Ю.А. Лечение микроэлементами, металлами и минералами. Киев: Здоровье, 1992. 118 с.</w:t>
      </w:r>
    </w:p>
    <w:p w:rsidR="00CB53B0" w:rsidRDefault="000003ED">
      <w:pPr>
        <w:pStyle w:val="a3"/>
      </w:pPr>
      <w:r>
        <w:t>Витамины и микроэлементы в клинической фармакологии / Под. ред. В.А. Тутельяна. М. 2001. 506 с.</w:t>
      </w:r>
    </w:p>
    <w:p w:rsidR="00CB53B0" w:rsidRDefault="000003ED">
      <w:pPr>
        <w:pStyle w:val="a3"/>
      </w:pPr>
      <w:r>
        <w:t>СанПин 2.3.2.560-96. Продовольственное сырье и пищевые продукты. Гигиенические требования к качеству и безопасности продовольственного сырья и пищевых продуктов. М., 1997. 270 с.</w:t>
      </w:r>
      <w:bookmarkStart w:id="0" w:name="_GoBack"/>
      <w:bookmarkEnd w:id="0"/>
    </w:p>
    <w:sectPr w:rsidR="00CB53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3ED"/>
    <w:rsid w:val="000003ED"/>
    <w:rsid w:val="00102826"/>
    <w:rsid w:val="00C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A217D-3066-42E9-8D98-BC731F5B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</Words>
  <Characters>7433</Characters>
  <Application>Microsoft Office Word</Application>
  <DocSecurity>0</DocSecurity>
  <Lines>61</Lines>
  <Paragraphs>17</Paragraphs>
  <ScaleCrop>false</ScaleCrop>
  <Company>diakov.net</Company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Возможность использования надземной части полыней, произрастающих на территории Томской области, в качестве источника макро- и микроэлементов</dc:title>
  <dc:subject/>
  <dc:creator>Irina</dc:creator>
  <cp:keywords/>
  <dc:description/>
  <cp:lastModifiedBy>Irina</cp:lastModifiedBy>
  <cp:revision>2</cp:revision>
  <dcterms:created xsi:type="dcterms:W3CDTF">2014-08-02T20:21:00Z</dcterms:created>
  <dcterms:modified xsi:type="dcterms:W3CDTF">2014-08-02T20:21:00Z</dcterms:modified>
</cp:coreProperties>
</file>