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016" w:rsidRPr="002D3323" w:rsidRDefault="00141016" w:rsidP="00141016">
      <w:pPr>
        <w:spacing w:before="120"/>
        <w:jc w:val="center"/>
        <w:rPr>
          <w:b/>
          <w:bCs/>
          <w:sz w:val="32"/>
          <w:szCs w:val="32"/>
        </w:rPr>
      </w:pPr>
      <w:r w:rsidRPr="002D3323">
        <w:rPr>
          <w:b/>
          <w:bCs/>
          <w:sz w:val="32"/>
          <w:szCs w:val="32"/>
        </w:rPr>
        <w:t>Стратегия управления долгом города Москвы</w:t>
      </w:r>
    </w:p>
    <w:p w:rsidR="00141016" w:rsidRPr="002D3323" w:rsidRDefault="00141016" w:rsidP="00141016">
      <w:pPr>
        <w:spacing w:before="120"/>
        <w:ind w:firstLine="567"/>
        <w:jc w:val="both"/>
        <w:rPr>
          <w:sz w:val="28"/>
          <w:szCs w:val="28"/>
        </w:rPr>
      </w:pPr>
      <w:r w:rsidRPr="002D3323">
        <w:rPr>
          <w:sz w:val="28"/>
          <w:szCs w:val="28"/>
        </w:rPr>
        <w:t>Сергей Пахомов, председатель Комитета государственных заимствований г. Москвы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 xml:space="preserve">Статья посвящена истории формирования заемной системы г. </w:t>
      </w:r>
      <w:r>
        <w:t>М</w:t>
      </w:r>
      <w:r w:rsidRPr="00514E7B">
        <w:t xml:space="preserve">осквы, периодизации этапов ее становления, бюджетной политике и основным результатам осуществления политики в области государственного долга </w:t>
      </w:r>
      <w:r>
        <w:t>М</w:t>
      </w:r>
      <w:r w:rsidRPr="00514E7B">
        <w:t xml:space="preserve">осквы, анализу долговой нагрузки и безопасного уровня долга, принципам формирования рынка долговых инструментов города и его роли на рынке внутренних облигаций </w:t>
      </w:r>
      <w:r>
        <w:t>РФ</w:t>
      </w:r>
      <w:r w:rsidRPr="00514E7B">
        <w:t>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К основным элементам стратегии управления долгом Москвы относятся: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- формирование и развитие заемной системы;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- разработка и реализация стратегии заимствований в соответствии с приоритетами бюджетной политики;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- обеспечение безопасного уровня долга;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-</w:t>
      </w:r>
      <w:r>
        <w:t xml:space="preserve"> </w:t>
      </w:r>
      <w:r w:rsidRPr="00514E7B">
        <w:t>развитие рынка долговых инструментов города.</w:t>
      </w:r>
    </w:p>
    <w:p w:rsidR="00141016" w:rsidRPr="002D3323" w:rsidRDefault="00141016" w:rsidP="00141016">
      <w:pPr>
        <w:spacing w:before="120"/>
        <w:jc w:val="center"/>
        <w:rPr>
          <w:b/>
          <w:bCs/>
          <w:sz w:val="28"/>
          <w:szCs w:val="28"/>
        </w:rPr>
      </w:pPr>
      <w:r w:rsidRPr="002D3323">
        <w:rPr>
          <w:b/>
          <w:bCs/>
          <w:sz w:val="28"/>
          <w:szCs w:val="28"/>
        </w:rPr>
        <w:t>Заемная система города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В Москве для осуществления государственных заимствований, их обслуживания и погашения в 1996 г. был создан специальный орган исполнительной власти - Комитет государственных заимствований г. Москвы (до 10 апреля 2003 г. -Комитет муниципальных займов и развития фондового рынка Правительства Москвы).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В 1997 г. началось формирование заемной системы города. В настоящее время ядром этой системы являются Комитет государственных заимствований (далее - Комитет) и специализированное государственное унитарное предприятие «Финансовое агентство города Москвы» (далее - СГУП «Мосфинагентство»).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С момента своего становления и до настоящего времени заемная система города прошла несколько этапов: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I</w:t>
      </w:r>
      <w:r>
        <w:t xml:space="preserve"> </w:t>
      </w:r>
      <w:r w:rsidRPr="00514E7B">
        <w:t>(до 1997 г.) - разрозненные и нескоординированные заимствования, осуществляемые множеством органов московской городской администрации;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II (1997 г.) - создание Комитета -органа, ответственного за заимствования города;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III</w:t>
      </w:r>
      <w:r>
        <w:t xml:space="preserve"> </w:t>
      </w:r>
      <w:r w:rsidRPr="00514E7B">
        <w:t>(1999 г.) - реформирование системы, включающее создание профессионального агентства по управлению долгом - СГУП «Мосфинагентство».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Последний этап был обусловлен необходимостью централизации управления и учета долга; профессионализации управления долгом; оперативной деятельности на фондовом рынке и ее соответствия «правилам» рынка.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Реформирование системы управления долгом города обеспечило: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-</w:t>
      </w:r>
      <w:r>
        <w:t xml:space="preserve"> </w:t>
      </w:r>
      <w:r w:rsidRPr="00514E7B">
        <w:t>концентрацию заемных функций в Комитете государственных заимствований;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- создание специализированного предприятия - СГУП «Мосфинагентство», функционирующего как профессиональный аппарат Комитета;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-</w:t>
      </w:r>
      <w:r>
        <w:t xml:space="preserve"> </w:t>
      </w:r>
      <w:r w:rsidRPr="00514E7B">
        <w:t>передачу функций по организации займов и решению оперативных задач управления долгом СГУП «Мосфинагентство».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Полномочия и функции СГУП «Мосфинагентство» заключаются в следующем: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Участие в планировании городской программы заимствований.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1.1.</w:t>
      </w:r>
      <w:r>
        <w:t xml:space="preserve"> </w:t>
      </w:r>
      <w:r w:rsidRPr="00514E7B">
        <w:t>Разработка проектов Программы заимствований, бюджетных показателей, относящихся к долгу города.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1.2.</w:t>
      </w:r>
      <w:r>
        <w:t xml:space="preserve"> </w:t>
      </w:r>
      <w:r w:rsidRPr="00514E7B">
        <w:t>Подготовка рекомендаций по стратегии управления долгом города.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1.3.</w:t>
      </w:r>
      <w:r>
        <w:t xml:space="preserve"> </w:t>
      </w:r>
      <w:r w:rsidRPr="00514E7B">
        <w:t>Проектирование условий и параметров займов.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2. Размещение внутренних и внешних займов и управление долгом.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2.1.</w:t>
      </w:r>
      <w:r>
        <w:t xml:space="preserve"> </w:t>
      </w:r>
      <w:r w:rsidRPr="00514E7B">
        <w:t>Принятие и осуществление тактических решений по управлению долгом.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2.2.</w:t>
      </w:r>
      <w:r>
        <w:t xml:space="preserve"> </w:t>
      </w:r>
      <w:r w:rsidRPr="00514E7B">
        <w:t>Проведение всех операций, связанных с размещением займов.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2.3.</w:t>
      </w:r>
      <w:r>
        <w:t xml:space="preserve"> </w:t>
      </w:r>
      <w:r w:rsidRPr="00514E7B">
        <w:t>Развитие инфраструктуры рынка облигаций городского облигационного (внутреннего) займа Москвы.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Основные результаты осуществления политики в области государственного долга Москвы в период 2000-2002 гг.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Реформирование системы управления долгом позволило в полной мере использовать способность города к мобилизации ресурсов для преодоления последствий финансового кризиса 1998-1999 гг. Такими последствиями были: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1. Высокий уровень долговой нагрузки на бюджет. Отношение ежегодных платежей на погашение и обслуживание долга к доходам бюджета составляло в совокупности в 2000 г. более 28%, к 2003 г. оно снизилось до 8,5%.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2.</w:t>
      </w:r>
      <w:r>
        <w:t xml:space="preserve"> </w:t>
      </w:r>
      <w:r w:rsidRPr="00514E7B">
        <w:t>Неудовлетворительная структура долга. Доминирующим элементом прямого долга были кредиты банков и бюджетные ссуды, составлявшие в совокупности 63% от его объема. К началу 2003 г. доля кредитов и бюджетных ссуд в объеме обязательств была снижена до 27%.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3.</w:t>
      </w:r>
      <w:r>
        <w:t xml:space="preserve"> </w:t>
      </w:r>
      <w:r w:rsidRPr="00514E7B">
        <w:t>Валютные риски. Отношение суммы внешнего долга к доходам бюджета за рассматриваемый период снизилось более чем в 3 раза - с 44 до 14%.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4. Низкая ликвидность рынка облигаций Москвы. В первую очередь эта проблема была связана практически с полным уходом города с рынка облигаций. Доля указанного инструмента в объеме долга Москвы на начало 2000 г. составляла 3%. К началу 2003 г. объем облигационных займов значительно увеличился - с 1,9 млрд до 14,4 млрд руб.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К числу ключевых операций, направленных на снижение долговой нагрузки и улучшение структуры долга, проведенных в 2000-2001 гг., следует отнести погашение внешних кредитов и облигационных займов на сумму более 1,2 млрд долл. и привлечение двух еврозаймов на сумму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350 млн и 400 млн евро с погашением в 2004 и 2006 гг. соответственно. При этом заем в 350 млн евро стал первым еврозаймом российского эмитента после кризиса 1998 г.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К 2003 г. завершилось формирование ликвидного рынка внутренних облигаций Москвы. При этом Москва заняла лидирующие позиции на рынке субфедеральных и корпоративных облигаций.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Кроме того, в целях оптимизации структуры внутреннего долга в 2001 г. было осуществлено погашение всех банковских рублевых кредитов (всего на сумму более 12 млрд руб.) через их замещение внутренними облигациями.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Итогом стало сокращение долга и резкое снижение долговой нагрузки на бюджет города. Так, при уменьшении суммы долга Москвы за период с 2000 по 2002 г. на 13% текущая нагрузка на бюджет, определяемая отношением ежегодно погашаемого долга к доходам бюджета соответствующего года, сократилась более чем в 3 раза - с 23,4 до 5,4%.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Решение долговых проблем, возникших в связи с кризисом 1998 г., и существенное снижение долговой нагрузки позволило переориентировать политику в области управления долгом с задач его структурной оптимизации, рефинансирования и сокращения на активное использование потенциала финансовых рынков для финансирования инвестиционных программ города.</w:t>
      </w:r>
    </w:p>
    <w:p w:rsidR="00141016" w:rsidRPr="002D3323" w:rsidRDefault="00141016" w:rsidP="00141016">
      <w:pPr>
        <w:spacing w:before="120"/>
        <w:jc w:val="center"/>
        <w:rPr>
          <w:b/>
          <w:bCs/>
          <w:sz w:val="28"/>
          <w:szCs w:val="28"/>
        </w:rPr>
      </w:pPr>
      <w:r w:rsidRPr="002D3323">
        <w:rPr>
          <w:b/>
          <w:bCs/>
          <w:sz w:val="28"/>
          <w:szCs w:val="28"/>
        </w:rPr>
        <w:t>Бюджетная политика и потребность в заимствованиях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Москва, входящая в число крупнейших мегаполисов в мире, для сохранения необходимой динамики развития городской инфраструктуры и приведения ее в соответствие с растущими потребностями города имеет объективную</w:t>
      </w:r>
      <w:r>
        <w:t xml:space="preserve"> </w:t>
      </w:r>
      <w:r w:rsidRPr="00514E7B">
        <w:t>необходимость в значительных капиталовложениях, обеспечение которых -одна из важнейших задач бюджетной политики.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Вместе с тем изменение налогового законодательства и перераспределение значительной части налоговых поступлений в пользу федерального бюджета обусловили снижение темпов роста доходов бюджета города. В этих условиях потребность в сохранении стабильного уровня государственных инвестиций в развитие городской инфраструктуры определила в качестве одного из приоритетов бюджетной политики на период до 2006 г. необходимость ежегодного привлечения заемных ресурсов в объеме 20-25 млрд руб.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По «стечении указанного периода прогнозируется восстановление и ускорение роста реальных доходов бюджета. Это обусловлено как ожидаемым позитивным воздействием на экономику города результатов городских государственных инвестиций и налоговых реформ, направленных на снижение налоговой нагрузки, так и собственно завершением налоговой реформы и стабилизацией ставок распределения налогов между бюджетами разных уровней. Соответственно, прогнозируемое ускорение роста бюджетных доходов будет использовано на сокращение заимствований, а в случае целесообразности и при необходимости - и на снижение долга и дальнейшее улучшение его структуры.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Таким образом, сложившаяся динамика бюджетных доходов и приоритеты бюджетной политики, к числу которых относится необходимость сохранения стабильного уровня финансирования капитальных расходов бюджета, определяют на среднесрочную перспективу (2004-2006 гг.) потребность привлечения на эти цели заимствований в объеме порядка 20 млрд руб. ежегодно. При этом не исключено, что в зависимости от экономической конъюнктуры и изменений в налоговом законодательстве и бюджетных отношениях в 2004-2006 гг. эта сумма может колебаться в пределах от 10 млрд до 30 млрд руб.</w:t>
      </w:r>
    </w:p>
    <w:p w:rsidR="00141016" w:rsidRPr="002D3323" w:rsidRDefault="00141016" w:rsidP="00141016">
      <w:pPr>
        <w:spacing w:before="120"/>
        <w:jc w:val="center"/>
        <w:rPr>
          <w:b/>
          <w:bCs/>
          <w:sz w:val="28"/>
          <w:szCs w:val="28"/>
        </w:rPr>
      </w:pPr>
      <w:r w:rsidRPr="002D3323">
        <w:rPr>
          <w:b/>
          <w:bCs/>
          <w:sz w:val="28"/>
          <w:szCs w:val="28"/>
        </w:rPr>
        <w:t>Долговая нагрузка и безопасный уровень долга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Бюджетный кодекс определяет следующие предельные параметры долга и дефицита бюджета субъекта Российской Федерации: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- объем государственного долга не должен превышать собственных доходов бюджета рассматриваемого финансового года;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-</w:t>
      </w:r>
      <w:r>
        <w:t xml:space="preserve"> </w:t>
      </w:r>
      <w:r w:rsidRPr="00514E7B">
        <w:t>предельный объем расходов бюджета на обслуживание государственного долга не должен превышать 15% расходов бюджета рассматриваемого финансового года;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-</w:t>
      </w:r>
      <w:r>
        <w:t xml:space="preserve"> </w:t>
      </w:r>
      <w:r w:rsidRPr="00514E7B">
        <w:t>предельный размер дефицита бюджета не должен превышать 15% собственных доходов бюджета рассматриваемого финансового года.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Названные правовые нормы не учитывают двух важнейших факторов, принципиальных для определения безопасного уровня долга: 1) наличие</w:t>
      </w:r>
      <w:r>
        <w:t xml:space="preserve"> </w:t>
      </w:r>
      <w:r w:rsidRPr="00514E7B">
        <w:t>в бюджете обязательных (неотложных) расходов и 2) распределение платежей, связанных с обслуживанием и погашением государственного долга во времени. В связи с этим формирование долга Москвы осуществляется с учетом дополнительных критериев, определенных «Концепцией управления государственным долгом города Москвы и использования заемных средств в городском бюджете» (Постановление Правительства Москвы от 6 мая 2003 г. №318-ПП).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В Соответствии с указанной Концепцией основой бюджетной политики в области управления государственным долгом Москвы является механизм защиты части расходов бюджета, необходимых для бесперебойного функционирования городской инфраструктуры и выполнения социальных программ, от рисков, связанных с погашением долга. Ключевым условием защищенности указанных расходов от указанных рисков является соблюдение соотношения между размером ежегодных выплат в счет погашения долга и разностью между доходами и текущими расходами бюджета. Соответствующая разность, которая концепцией определена как «капитальный ресурс», должна превышать размер ежегодно погашаемого долга в течение прогнозируемого периода.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В результате в качестве базовых показателей, определяющих ограничения в проведении городской заемной политики, используются как нормы, установленные Бюджетным кодексом Российской Федерации и Законом г. Москвы «О государственном долге города Москвы», так и отношение ежегодно погашаемого долга к величине капитального ресурса бюджета Москвы.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Кроме того, при оценке долговой нагрузки в качестве вспомогательного условия безопасного уровня долга используется такой простой и широко распространенный показатель, как отношение ежегодно погашаемого долга к доходам бюджета. Согласно известной практике</w:t>
      </w:r>
      <w:r>
        <w:t xml:space="preserve"> </w:t>
      </w:r>
      <w:r w:rsidRPr="00514E7B">
        <w:t>применения этого критерия, указанный показатель свидетельствует о критическом уровне долговой нагрузки, если его значение превышает 15%.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Выполнимость перечисленных критериев оценивалась для случая привлечения заимствований на финансирование ежегодного дефицита бюджета в объеме 20-30 млрд руб. в период 2004-2006 г., определенного приоритетами бюджетной политики. Получено, что такие заимствования не скажутся существенным образом на уровне долговой нагрузки в указанные годы. Расчеты показывают, что сумма ежегодно погашаемого долга в 2004-2006 гг. составит менее 10% доходов бюджета и 35% капитального ресурса бюджета Москвы. Сумма долга не превысит 33% доходов бюджета.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Однако рост объема долга в рассмотренный период может оказать негативное воздействие на исполнение бюджета последующих лет. Это требует оценки степени и условий безопасности долга для бюджета последующих лет. Проведение такого расчета показало, чю соблюдение критериев безопасного уровня долговой нагрузки будет обеспечено при срочности заимствований не менее 3 лет.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Это критический срок, иначе заимствования в рассмотренном объеме станут невозможны по причине несоблюдения предельных показателей критериев безопасного уровня долга и определяемых ими рисков, связанных с погашением долга после 2007 г.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Однако формирование временного профиля долга, соответствующего указанным выше предельным показателям долговой нагрузки (15 и 100%), нецелесообразно, поскольку в такой ситуации система исполнения бюджета будет чувствительна к воздействию неблагоприятной экономической конъюнктуры. Поэтому в качестве ориентира для формирования безопасного уровня долга для указанных отношений были определены значения 10 и 50% соответственно. Достижение этих значений будет</w:t>
      </w:r>
      <w:r>
        <w:t xml:space="preserve"> </w:t>
      </w:r>
      <w:r w:rsidRPr="00514E7B">
        <w:t>обеспечено при срочности заимствований 5-7 лет.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Таким образом, ключевым элементом политики управления долгом на период 2004-2006 гг. стала организация заимствований срочностью до 7-10 лет, обеспечивающая равномерный профиль погашения долга на горизонте до 2011 г. Соблюдение такой стратегии заимствований, объем которых определяется приоритетами бюджетной политики, обеспечивает городу безопасный уровень долговой нагрузки.</w:t>
      </w:r>
    </w:p>
    <w:p w:rsidR="00141016" w:rsidRPr="002D3323" w:rsidRDefault="00141016" w:rsidP="00141016">
      <w:pPr>
        <w:spacing w:before="120"/>
        <w:jc w:val="center"/>
        <w:rPr>
          <w:b/>
          <w:bCs/>
          <w:sz w:val="28"/>
          <w:szCs w:val="28"/>
        </w:rPr>
      </w:pPr>
      <w:r w:rsidRPr="002D3323">
        <w:rPr>
          <w:b/>
          <w:bCs/>
          <w:sz w:val="28"/>
          <w:szCs w:val="28"/>
        </w:rPr>
        <w:t>Формирование рынка долговых инструментов города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Осуществление заимствований на внутреннем рынке срочностью до 7—10 лет в настоящих условиях невозможно без должного развития рынка облигаций города. Результаты, достигнутые в этом направлении, определяются, в частности, следующими объемными показателями: на середину ноября 2004 г. в обращении находилось 16 выпусков облигаций Москвы общей номинальной стоимостью более 60 млрд руб.</w:t>
      </w:r>
    </w:p>
    <w:p w:rsidR="00141016" w:rsidRDefault="00141016" w:rsidP="00141016">
      <w:pPr>
        <w:spacing w:before="120"/>
        <w:ind w:firstLine="567"/>
        <w:jc w:val="both"/>
      </w:pPr>
      <w:r w:rsidRPr="00514E7B">
        <w:t xml:space="preserve">К инструментам развития рынка облигаций города относится институт уполномоченных андеррайтеров и маркет-мейкеров. Принципиальным отличием работы андеррайтеров на рынке облигаций Москвы от деятельности андеррайтеров по выпускам других эмитентов является обязательство регулярного участия в аукционах, проводимых Комитетом. Кроме этого, в обязанности андеррайтеров входят и функции маркет-мейкеров: дальнейшее поддержание вторичного рынка, выставление двусторонних котировок и совершение сделок. В конце 2002 г. в число андеррайтеров входило 16 участников, к концу октября 2004 г. их стало 23. 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 xml:space="preserve">Важную роль в развитии рынка облигаций играет политика раскрытия информации об эмитенте, проведение PR и рекламных мероприятий по популяризации </w:t>
      </w:r>
      <w:r>
        <w:t>ОГО(В)3 М</w:t>
      </w:r>
      <w:r w:rsidRPr="00514E7B">
        <w:t>осквы.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Существенным фактором формирования спроса на облигации города является объем эмиссии. Практика подтвердила, что увеличение объема выпуска определяет большую ликвидность и, соответственно, рост спроса и возможностей для снижения стоимости. Но одновременно рост объемов эмиссии ведет к неравномерной нагрузке на бюджет внутри года в связи с большими выплатами на погашения долга. Эта проблема актуальна и будет решаться через гибкую систему планирования облигационных займов, учитывающую требования рынка и потребности города. К числу элементов такой системы можно отнести анализ спроса на так называемые амортизируемые облигации, имеющие распределенный во времени график погашения номинала долга, и тщательное планирование параметров срочности займов.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Совокупность проводимых мероприятий обеспечила повышение привлекательности и ликвидности выпусков ОГО(В)3 Москвы, что позволило уже в январе 2004 г. разместить 7-летний заем, а в начале октября Москва разместила выпуск сроком погашения 10 лет.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Сформированный рынок внутренних облигаций города наряду с государственными облигациями Российской Федерации стал ключевым сегментом рынка внутренних облигаций страны. Показателем роли рынка облигаций Москвы является сопоставление его оборотов с оборотами облигаций Российской Федерации. Например, в сентябре 2004 г. месячный оборот рынка облигаций Москвы составил 25,5 млрд руб., облигаций федерального займа РФ - 18,0 млрд руб.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Ликвидность рынка облигаций Москвы поддерживается их активным использованием в качестве инструмента поддержания банковской ликвидности. Так, еженедельный оборот межбанковских операций РЕПО с облигациями Москвы, осуществляемых в рамках только биржевой торговой системы ММВБ, в последнее время превышает 2 млрд руб., достигая в отдельные периоды 4-5 млрд руб.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Включение Центральным банком РФ облигаций Москвы в ломбардный список бумаг означает, что ЦБ РФ будет использовать этот инструмент для кредитования банковской системы путем проведения операций РЕПО.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Индикатором признания качества и надежности рублевых облигаций города является уровень их доходности - кривая доходности облигаций города (YTM) расположена ниже доходности любого эмитента РФ. В частности, рублевые облигации Внешторгбанка, имеющего по шкале Moody's одинаковый с Москвой рейтинг, торгуются с доходностью, превышающей доходность облигаций Москвы на 10-20 б. п.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Рост рассмотренных выше показателей отражает ситуацию формирования на рынке инструментов с фиксированной доходностью, обращающихся на территории РФ, самостоятельного крупного сегмента - рынка 0Г0(В)3 Москвы, ставшего на текущий момент benchmark для большинства выпусков субфедеральных и корпоративных эмитентов.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Растущая ликвидность и емкость рынка облигаций Москвы обеспечивают городу оперативный и широкий доступ к заемным ресурсам на внутреннем рынке, одновременно резко снижая их стоимость.</w:t>
      </w:r>
    </w:p>
    <w:p w:rsidR="00141016" w:rsidRPr="00514E7B" w:rsidRDefault="00141016" w:rsidP="00141016">
      <w:pPr>
        <w:spacing w:before="120"/>
        <w:ind w:firstLine="567"/>
        <w:jc w:val="both"/>
      </w:pPr>
      <w:r w:rsidRPr="00514E7B">
        <w:t>Результатом сформированного профиля долга Москвы с горизонтом срочности 10 лет стало снижение долговой нагрузки на бюджет города. По нашей оценке, объем средств, которые будут направляться ежегодно на погашение долга, в любой год будущего периода указанного 10-летнего горизонта, составит не более 8,5% от доходов бюджета.</w:t>
      </w:r>
    </w:p>
    <w:p w:rsidR="00141016" w:rsidRPr="00B05F8E" w:rsidRDefault="00141016" w:rsidP="00141016">
      <w:pPr>
        <w:spacing w:before="120"/>
        <w:jc w:val="center"/>
        <w:rPr>
          <w:b/>
          <w:bCs/>
          <w:sz w:val="28"/>
          <w:szCs w:val="28"/>
        </w:rPr>
      </w:pPr>
      <w:r w:rsidRPr="00B05F8E">
        <w:rPr>
          <w:b/>
          <w:bCs/>
          <w:sz w:val="28"/>
          <w:szCs w:val="28"/>
        </w:rPr>
        <w:t>Список литературы</w:t>
      </w:r>
    </w:p>
    <w:p w:rsidR="00141016" w:rsidRDefault="00141016" w:rsidP="00141016">
      <w:pPr>
        <w:spacing w:before="120"/>
        <w:ind w:firstLine="567"/>
        <w:jc w:val="both"/>
      </w:pPr>
      <w:r>
        <w:t>Журнал «Рынок ценных бумаг» № 16, 2005 год.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016"/>
    <w:rsid w:val="00141016"/>
    <w:rsid w:val="002D3323"/>
    <w:rsid w:val="00514E7B"/>
    <w:rsid w:val="00616072"/>
    <w:rsid w:val="007970EC"/>
    <w:rsid w:val="008B35EE"/>
    <w:rsid w:val="00B05F8E"/>
    <w:rsid w:val="00B42C45"/>
    <w:rsid w:val="00B47B6A"/>
    <w:rsid w:val="00E2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2991A8-E944-4F44-80B2-95561871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01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10710</Words>
  <Characters>6106</Characters>
  <Application>Microsoft Office Word</Application>
  <DocSecurity>0</DocSecurity>
  <Lines>50</Lines>
  <Paragraphs>33</Paragraphs>
  <ScaleCrop>false</ScaleCrop>
  <Company>Home</Company>
  <LinksUpToDate>false</LinksUpToDate>
  <CharactersWithSpaces>16783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Стратегия управления долгом города Москвы</dc:title>
  <dc:subject/>
  <dc:creator>User</dc:creator>
  <cp:keywords/>
  <dc:description/>
  <cp:lastModifiedBy>admin</cp:lastModifiedBy>
  <cp:revision>2</cp:revision>
  <dcterms:created xsi:type="dcterms:W3CDTF">2014-01-25T08:51:00Z</dcterms:created>
  <dcterms:modified xsi:type="dcterms:W3CDTF">2014-01-25T08:51:00Z</dcterms:modified>
</cp:coreProperties>
</file>