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293926" w:rsidRPr="004A6DE2" w:rsidRDefault="00C17F45" w:rsidP="004A6DE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 xml:space="preserve">РЕФЕРАТ: </w:t>
      </w:r>
      <w:r w:rsidR="00FA350E" w:rsidRPr="004A6DE2"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ПРОБЛЕМА ПОГАШЕНИЯ ВНЕШНИХ ДОЛГОВ ТУРЦИИ В КОНЦЕ ХХ ВЕКА</w:t>
      </w:r>
    </w:p>
    <w:p w:rsidR="00710911" w:rsidRPr="002076E3" w:rsidRDefault="00710911" w:rsidP="00710911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FFFFFF"/>
          <w:sz w:val="28"/>
          <w:szCs w:val="28"/>
        </w:rPr>
      </w:pPr>
      <w:r w:rsidRPr="002076E3">
        <w:rPr>
          <w:rFonts w:ascii="Times New Roman" w:hAnsi="Times New Roman"/>
          <w:snapToGrid w:val="0"/>
          <w:color w:val="FFFFFF"/>
          <w:sz w:val="28"/>
          <w:szCs w:val="28"/>
        </w:rPr>
        <w:t>ссудный капитал турция долг</w:t>
      </w:r>
    </w:p>
    <w:p w:rsidR="004A6DE2" w:rsidRDefault="004A6DE2">
      <w:pPr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br w:type="page"/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послевоенный период экономическое развитие Турции в возрастающей степени опиралось на использование внешних ресурсов, которые рассматривались не только как дополнительный источник, но и стимулятор производительного использования внутренних накоплений, повышения темпов экономического роста. Расширение инвестиций в экономику требовало импорта средств производства. Для Турции, чей экспорт тогда состоял из ограниченного числа сельскохозяйственных товаров и не располагавшей крупными и легко доступными запасами минерального сырья, разработка которых могла бы позволить существенно увеличить валютные доходы, привлечение внешних ресурсов стало неизбежным.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Благодаря своему геополитическому положению «моста» между Западом и Востоком, Европой и Азией, членству в НАТО Турция получила доступ практически ко всем кредитным источникам Запада, став одним из крупнейших его реципиентов. Если первоначально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(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конце 40-х и в 50-е годы)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поступавшие в Турцию внешние материальные и финансовые ресурсы, в тот период преимущественно в виде помощи США и подконтрольных им международных финансовых организаций, направлялись на модернизацию турецкой армии и обслуживающие ее отрасли хозяйства, то с введением в начале 60-х годов экономического планирования они превращаются в составную часть государственных инвестиционных программ.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число доноров Турции включилось большинство промышленно развитых стран ОЭСР и ведущие международные финансовые организации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МВФ и Всемирный банк, которыми был создан консорциум по оказанию помощи Турции. В те же годы к оказанию финансовой и технической помощи Турции подключился Советский Союз и некоторые страны Восточной Европы, а с середины 70-х годов – нефтедобывающие арабские страны и их коллективные фонды (Исламский банк развития и некоторые другие).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Основная часть ресурсов, поступавших в страну из-за рубежа, до середины 70-х годов предоставлялась либо на безвозмездной основе («дары»), либо в виде кредитов на льготных условиях – на длительный срок, под низкий процент и т. д. Благодаря этому Турция не сталкивалась с серьезными проблемами при обслуживании внешнего долга, который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1970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равнялся 1896 млн. долл., а долговые платежи (основные суммы и проценты) –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171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млн. долл.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Но уже с конца 70-х годов условия западной помощи стали постепенно ужесточаться. Кроме того, испытывая нехватку валютных средств для оплаты импорта, Турция была вынуждена все чаще пользоваться краткосрочными займами с мировых денежных рынков, предоставляемыми на коммерческих условиях. В результате ее внешний долг, равный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1974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2,5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и тогда еще почти целиком долгосрочный и среднесрочный, в конце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1979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возрос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13,4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, а его краткосрочная часть, начиная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1977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достигла половины его общей суммы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Платежеспособность Турции была подорвана мировым энергетическим кризисом, начавшимся с роста цен на нефть, импортером которой она является,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нечем было оплачивать не только импорт, но и выполнять долговые обязательства. Банкротства удалось избежать лишь благодаря соглашениям с западными кредиторами, они предусматривали реструктуризацию турецких долгов и отсрочку долговых выплат на срок от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трех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пяти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лет, Одновременно Турции были выделены новые кредиты.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Турецкое руководство извлекло уроки из пережитого кризиса и в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внесло радикальные изменения в свою экономическую стратегию («решения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января»), заявив о переходе от закрытой и этатизированной экономической системы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 открытой и целиком рыночной, от импортзамещения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 экспортной ориентации. Кризис обнажил неэффективность импортзамещения и недостижимость его изначальной цели – «самоподдерживающегося роста», несостоятельность данной модели с точки зрения платежеспособности страны, выполнения ее текущих долговых обязательств и импортных программ. Защищенная таможенными барьерами и ориентированная на внутренний рынок турецкая экономика, в том числе обрабатывающая промышленность, базировалась на низкой производительности труда. По этой причине национальная продукция при сохранении низкой конкурентоспособности не могла стать источником растущих валютных доходов. Начиная с 80-х годов, турецкое руководство использовало все меры, включая экстраординарные, для развития экспорта и всех других сфер и отраслей хозяйства, обладающих благодаря географическому положению и естественному потенциалу страны сравнительными преимуществами и способных зарабатывать валюту (туризм, транзитная торговля, транспорт, экспорт рабочей силы и услуг фирм-подрядчиков). В число этих мер входила прямая государственная поддержка в виде налоговых, таможенных льгот и освобождений, оформляемых через систему «поощрительных сертификатов» для всех видов предпринимательской деятельности, связанных с экспортом продукции и предоставлением услуг, оплачиваемых конвертируемыми валютами, обеспечение таких предприятий льготными кредитами (с этой целью был создан ряд специальных фондов, а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государственный «Эксимбанк»), установление государственными предприятиями низких отпускных и высоких закупочных цен для частных предприятий.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Важным инструментом стимулирования экспорта и экспортных производств, одной из основных целей которого является обслуживание внешнего долга, стал валютный курс. После длительного периода следования политике фиксированного курса, Турция с мая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г. перешла к плавающему курсу, что стало началом перманентной девальвации турецкой лиры, сыгравшей важную роль в увеличении доли экспорта в объеме производства многих турецких предприятий. Одновременно власти проводили политику сдерживания роста и прямого замораживания заработной платы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индекс реальной заработной платы с небольшими отклонениями снижался на протяжении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1980-1988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он упал до 53% по сравнению с 1979 г. (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100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%)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Снижение жизненного уровня населения привело к сокращению внутреннего потребительского спроса, и соответственно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к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расширению экспортных ресурсов.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Эти и некоторые другие меры позволили Турции за короткие сроки значительно увеличить экспортную выручку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уже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она достигла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г., а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–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11,2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Соответственно экспортная квота (отношение экспорта к ВВП) страны поднялась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16,6%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5%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10,6%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Основную роль в столь стремительном расширении экспорта сыграла обрабатывающая промышленность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удельный вес в нем промышленного экспорта возрос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33%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1977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36%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 г.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79%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6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Однако характерной особенностью расширения экспортной части промышленной продукции было то, что оно было достигнуто почти исключительно благодаря массированной государственной поддержке. По словам турецкого экономиста Эркена Озальпа, «рост экспорта в своей основе опирался на существующие производственные мощности и структуры, темпы прироста инвестиций в обрабатывающую промышленность даже снизились в этот период. Не трудно было предсказать, что этот рост в конце концов остановится»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7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.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Единственным средством долгосрочного расширения экспорта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было повышение производительности труда, на основе обновления технологической и технической базы основных промышленных отраслей и доведения ее до уровня, обеспечивающего конкурентоспособность продукции с последующим непрерывным ее совершенствованием. Решение этой задачи силами местного капитала было невозможно.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Большие надежды в этой связи возлагались на привлечение прямых иностранных инвестиций. Еще в начале 80-х годов были приняты законы, существенно дополнявшие действовавший с 1954 г. Закон о поощрении иностранного капитала и предусматривавшие расширение сфер его приложения, упрощение процедуры оформления документации, возможность пользоваться налоговыми и иными льготами наравне с местными инвесторами и т. д. Турецкое руководство рассчитывало, что эти меры вместе с либерализацией внешнеторгового и валютного режимов, операций кредитно-банковской системы привлекут иностранных инвесторов, и широкий приток прямых инвестиций сможет уменьшить зависимость от использования иностранных ссудных капиталов, облегчит бремя внешнего долга, в первую очередь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процентных платежей. Однако в силу ряда причин, о которых будет сказано ниже, эти надежды не оправдались.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После трех лет военного правления (сентябрь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-декабрь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1983 гг.),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которое принимало меры для восстановления экономического роста и финансовой стабилизации (темпы инфляции были снижены со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100%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среднем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1981-1983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гг.), к власти пришло гражданское правительство во главе с Т.Озалом, которое в своей программе объявило о продолжении курса, направленного на расширение производственного и экспортного потенциала страны с привлечением в этих целях иностранных кредитов и займов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noProof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Было продолжено выполнение ряда прежних проектов и начаты новые работы в сфере производственной инфраструктуры, которые должны были поддержать активность частных предпринимателей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местных и иностранных. Возросли инвестиционные затраты как в турецких лирах, так и в конвертируемых валютах. Внутреннее финансирование обеспечивалось из бюджетных источников, из-за нехватки которых вновь стали широко пользоваться средствами печатного станка, что привело к возобновлению сильной инфляции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уже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оптовые цены выросли 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50%,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а в конце 80-х годов их ежегодный рост превышал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60%</w:t>
      </w:r>
      <w:r w:rsidRPr="004A6DE2">
        <w:rPr>
          <w:rFonts w:ascii="Times New Roman" w:hAnsi="Times New Roman"/>
          <w:noProof/>
          <w:snapToGrid w:val="0"/>
          <w:sz w:val="28"/>
          <w:szCs w:val="28"/>
          <w:vertAlign w:val="superscript"/>
          <w:lang w:eastAsia="ru-RU"/>
        </w:rPr>
        <w:t>9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Внешнее финансирование государственных инвестиционных программ осуществлялось, как и раньше, за счет иностранных ссудных капиталов. Хотя МВФ осудил турецкое руководство за нарушение согласованной с ним стабилизационной программы и прекратил выделение ему своих кредитов, Турции удалось воспользоваться кредитами из других источников. Во второй половине 80-х годов на Западе получили распространение новые подходы («план Бейкера» и др.) в отношении развивающихся стран – крупных должников, в соответствии с которыми усилия этих стран, направленные на ускорение экономического роста, следует поддерживать, так как это будет укреплять их платежеспособность и обеспечит своевременный возврат предоставляемых им кредитных ресурсов. Эти подходы отвечали интересам западных компаний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поставщиков машин и оборудования. Таким образом, ни санкции МВФ, ни успехи экспорториентированной модели не смогли остановить рост турецкого внешнего долга, который продолжался с той или иной интенсивностью как к 80-е, так и в 90-е годы. Динамика и структура внешнего долга Турции показана в табл. 1. Наибольший прирост внешнего долга наблюдался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1986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и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1987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26,9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25,2%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соответственно. Именно в эти годы Турцией были достигнуты самые высокие темпы роста ВВП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6,8%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1986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9,8%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10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Рост внешнего долга в большой степени был связан с привлечением краткосрочных займов, что повлекло за собой возрастание платежей по погашению основных сумм и выплате процентов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эти платежи достигли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7,9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В целом же за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1985-1988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на выплату внешнего долга было потрачено свыше половины всей валютной выручки страны.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отток ресурсов из Турции в виде долговых платежей достиг рекордного уровня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11,1%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ВВП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2,1%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Хотя основная масса средств, взятых за рубежом в кредит, в этот период направлялась на нужды экономического развития (финансирование импорта машин, оборудования, топлива, полуфабрикатов, выполнение проектов. направленных на улучшение структуры энергобаланса (строительство ГЭС и ТЭЦ, работающих на угле и лигнитах), строительство и реконструкцию коммуникаций, развитие индустрии туризма, техническое переоснащение банковской системы, подготовку кадров и др.) все более явной становилась тенденция сближения прироста доходов от инвестиций, финансируемых из внешних источников, с ростом долговых выплат, все чаще привлекаемые новые кредиты использовались для выплаты основных сумм и процентов по долгам, сроки погашения которых наступали.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90-е годы массированное привлечение из-за рубежа ссудных капиталов продолжалось, и выявившиеся негативные тенденции получили развитие. Прежняя ориентация на привлечение внешних ресурсов преимущественно для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выполнения инвестиционных проектов, финансирование импорта средств производства ослаблялась их тратой на текущие нужды – поддержку бюджетной системы, покрытие бюджетных дефицитов, бесперебойное функционирования службы внешнего долга и др. Экономическая эффективность привлечения внешних кредитных ресурсов снижалась, нарастали проявления паразитизма. Причины заключались в изменении условий как в самой Турции, так и в мировой хозяйственной системе, в органическую часть которой она превращалась по мере либерализации своих внешнеэкономических связей и рыночных преобразований.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Последние заметно пробуксовывали и оставались незавершенными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задерживалось проведение ряда намеченных реформ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налоговой, сельскохозяйственной, сферы социального обеспечения, а также приватизация и др., которые могли укрепить государственные финансы, снизить бюджетный дефицит, обеспечить стабильность валютно-финансового положения страны и тем самым ослабить ее зависимость от использования иностранных займов. Но вместо назревших преобразований продолжалась денежная эмиссия, наряду с привлечением внешних кредитов государство встало на путь широкого использования внутренних заемных средств.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Нерешенной оставалась проблема повышения производительности труда и качества продукции, сохранялась зависимость сельского хозяйства от погодных условий, что в свою очередь оказывало влияние на результаты производства легкой промышленности, остававшейся основной частью обрабатывающей отрасли. Динамика валютной выручки от экспорта под влиянием этих и некоторых других факторов была нестабильной. Государственные меры по оказанию прямой поддержки экспортерам и экспортным производствам уже не давали прежних результатов. Политика замораживания заработной платы также достигла предела.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под давлением профсоюзов и растущего забастовочного движения началось повышение как номинальной, так и реальной заработной платы, что привело к оживлению внутреннего потребительского опроса, сокращая экспортные возможности. Удерживать платежеспособность на приемлемом уровне Турции удавалось благодаря успешному развитию туризма, валютные доходы от которого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достигли более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2,5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372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млн. долл.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Заметно увеличились и переводы турецких граждан, работающих за границей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том же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они составили около 3 млрд. долл.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Нарастание валютно-финансовых трудностей требовало от турецкого руководства экстренных мер. Наряду с развитием государственного внутреннего кредита в поисках новых дополнительных источников внешнего финансирования оно форсировало либерализацию валютного режима и движения капиталов, рассчитывая таким образом расширить приток в страну иностранных портфельных инвестиций. В августе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был принят закон о введении конвертируемости турецкой лиры и свободном движении капиталов между зарубежными и турецким денежными и фондовыми рынками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11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Приток иностранных портфельных инвестиций в Турцию после этого значительно возрос, обогнав приток иностранных прямых инвестиций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Однако б</w:t>
      </w:r>
      <w:r w:rsidR="004A6DE2">
        <w:rPr>
          <w:rFonts w:ascii="Times New Roman" w:hAnsi="Times New Roman"/>
          <w:snapToGrid w:val="0"/>
          <w:sz w:val="28"/>
          <w:szCs w:val="28"/>
          <w:lang w:eastAsia="ru-RU"/>
        </w:rPr>
        <w:t>о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льшая часть этих инвестиций оказалась представленной «горячими деньгами», поступавшими с мировых денежных рынков. Как известно из опыта многих стран, цель миграций «горячих денег» – не инвестиции в реальную экономику, а спекуляции с ценными бумагами, приносящими быстрые и высокие прибыли.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Инфляционная обстановка и общая ситуация, сложившаяся в Турции благодаря широкомасштабному размещению государственным казначейством краткосрочных и высокопроцентных займов, как нельзя лучше отвечала этим целям. Основным объектом помещения средств иностранными портфельными инвесторами стали в первую очередь государственные ценные бумаги, а также некоторые высокодоходные акции корпоративного сектора, продававшиеся на Стамбульской фондовой бирже, которая по своей доходности вышла на одно из первых мест в мире. Благодаря отмене государственного регулирования движения частных капиталов, иностранные портфельные инвесторы получили возможность беспрепятственно переводить получаемые от этих операций доходы, предварительно конвертированные в твердые валюты, за рубеж. Рост таких переводов стал одной из причин ослабления платежного баланса Турции.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дефицит по его текущим операциям был близок к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– это стало прелюдией к финансовому кризису, разразившемуся в стране в начале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Следует добавить, что благоприятной ситуацией для получения спекулятивных доходов воспользовались и многие действующие в Турции банки, которые, по словам Э.Озальпа, «брали деньги в долг за границей, обращали эти деньги в турецкие лиры, а затем вкладывали их в покупку высокодоходных государственных облигаций. Такие операции превратились в один из наиболее важных источников банковских доходов»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Соответственно доля краткосрочных внешних долгов турецких коммерческих банков Турции в общем объеме ее внешнего долга выросла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6.8%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16,5%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14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Наибольший размах привлечение банковским сектором и другими местными частными компаниями иностранных краткосрочных займов получила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– общая сумма их внешней задолженности за год возросла 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долл., достигнув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Общее бремя внешнего долга сместилось в сторону частного сектора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в 1993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на долю государства приходилось уже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64%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всего внешнего долга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73%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Доля частного сектора соответственно выросла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36%</w:t>
      </w:r>
      <w:r w:rsidRPr="004A6DE2">
        <w:rPr>
          <w:rFonts w:ascii="Times New Roman" w:hAnsi="Times New Roman"/>
          <w:noProof/>
          <w:snapToGrid w:val="0"/>
          <w:sz w:val="28"/>
          <w:szCs w:val="28"/>
          <w:vertAlign w:val="superscript"/>
          <w:lang w:eastAsia="ru-RU"/>
        </w:rPr>
        <w:t>15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Рост краткосрочной задолженности частного сектора, также как и операции иностранных портфельных инвесторов привели страну к кризису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Турция смогла на собственном опыте убедиться, что бесконтрольное привлечение внешних ресурсов, в особенности краткосрочных, может привести к хаосу и кризису как вследствие перегрева экономики, так и в результате транснациональных спекулятивных афер.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Кризис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был преодолен благодаря чрезвычайным мерам стабилизационной программы, принятой правительством во главе с Т.Чиллер и согласованной с МВФ, который возобновил прерванное в середине 80-х годов кредитование Турции. Однако многие важные положения этой программы, которые должны были обеспечить долгосрочную стабилизацию экономики и финансов, оставались на бумаге. Печатание денег и привлечение все новых внутренних и внешних кредитов и займов продолжалось. Внешний долг Турции за 90-е годы удвоился и достиг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102,6 млрд. долл. или 50,1% ВВП. Согласно подсчетам Всемирного банка, Турция заняла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шестое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место среди крупнейших стран-должников по среднедушевой величине внешнего долга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она составляла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1246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долл.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435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долл. в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то же время турецкие власти делали многое, чтобы поддерживать репутацию дисциплинированного должника. Особое внимание было обращено на поддержку и развитие источников собственной валютной выручки. В соответствии со стабилизационной программой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возобновилась политика сдерживания роста заработной платы. Хотя ее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реальный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уровень между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возрос 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56%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государственном и на 28% в частном секторе, темпы этого роста понизились во второй половине 90-х годов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В целях поддержки экспорта продолжалась девальвация турецкой лиры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ее обесценение шло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так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ими же высокими темпами как и инфляция.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были внесены новые дополнения в закон о поощрении иностранных капиталовложений, еще более расширившие права и возможности прямых иностранных инвесторов.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Эти и другие меры позволили Турции уже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оживить рост экспорта, который продолжался и в последующие годы, чему в большой степени способствовало развитие челночной торговли Турции со странами СНГ и Восточной Европы (см. табл. 2), одновременно продолжали расширяться поступления от туризма и переводов рабочих-эмигрантов. Благодаря этому Турции удалось существенно понизить коэффициент обслуживания внешнего долга (отношение основных сумм и процентов выплаченного долга к валютной выручке от продажи товаров и услуг), который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31% 1992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29%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сократился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21%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(см. табл. 3).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Как и в прошлые десятилетия, рост внешнего долга Турции в 90-е годы происходил в результате привлечения ссудных капиталов с Запада. Роль кредиторов остального мира, в частности арабских стран и их коллективных финансовых организаций и фондов (Исламский банк развития, Фонд Кувейта и некоторые др.), средствами которых Турция пользовалась с середины 70-х годов, оставалась незначительной (см. табл. 4) и относительно сокращалась. Происходили подвижки среди западных кредиторов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90-е годы сократилось выделение кредитов Турции международными финансовыми организациями, выросли суммы, предоставляемые на основе двусторонних межгосударственных соглашений промышленно развитыми странами ОЭСР. Доля последних в долго- и среднесрочном кредитовании Турции во второй половине 90-х годов достигла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40%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против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33%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1990 г. и 34% – в 1986 г., тогда как доля международных финансовых организаций снизилась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14%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против 24 и 27% соответственно. Кредиты из этих двух основных источников наиболее выгодны для Турции, так как все еще сохраняют некоторые элементы льготности, кроме того их использование связано с осуществлением важных экономических проектов в сфере энергетики и других инфраструктурных отраслей.</w:t>
      </w:r>
    </w:p>
    <w:p w:rsidR="00293926" w:rsidRPr="004A6DE2" w:rsidRDefault="00C17F45" w:rsidP="004A6DE2">
      <w:pPr>
        <w:spacing w:after="0" w:line="360" w:lineRule="auto"/>
        <w:ind w:firstLine="709"/>
        <w:jc w:val="both"/>
        <w:rPr>
          <w:rFonts w:ascii="Times New Roman" w:hAnsi="Times New Roman"/>
          <w:noProof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90-е годы Турция все бо</w:t>
      </w:r>
      <w:r w:rsidR="00293926" w:rsidRPr="004A6DE2">
        <w:rPr>
          <w:rFonts w:ascii="Times New Roman" w:hAnsi="Times New Roman"/>
          <w:snapToGrid w:val="0"/>
          <w:sz w:val="28"/>
          <w:szCs w:val="28"/>
          <w:lang w:eastAsia="ru-RU"/>
        </w:rPr>
        <w:t>льшую часть привлекаемых внешних ссудных капиталов вынуждена брать у западных банков, с фондовых рынков, размещая на них свои облигации, и из других частных источников на сугубо коммерческих условиях</w:t>
      </w:r>
      <w:r w:rsidR="00293926"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="00293926" w:rsidRPr="004A6DE2">
        <w:rPr>
          <w:rFonts w:ascii="Times New Roman" w:hAnsi="Times New Roman"/>
          <w:snapToGrid w:val="0"/>
          <w:sz w:val="28"/>
          <w:szCs w:val="28"/>
          <w:lang w:eastAsia="ru-RU"/>
        </w:rPr>
        <w:t>доля коммерческих кредитов (долго</w:t>
      </w:r>
      <w:r w:rsidR="00293926"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- </w:t>
      </w:r>
      <w:r w:rsidR="00293926"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 средне- и краткосрочных) в конце 90-х годов достигала уже более</w:t>
      </w:r>
      <w:r w:rsidR="00293926"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70%.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Что же касается заемщиков внешних ссудных ресурсов, то здесь сохранялась тенденция повышения доли частного сектора и коммерческих банков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Она уже достигла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46,3%,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соответственно доля государства сократилась до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53,7%</w:t>
      </w:r>
      <w:r w:rsidRPr="004A6DE2">
        <w:rPr>
          <w:rFonts w:ascii="Times New Roman" w:hAnsi="Times New Roman"/>
          <w:noProof/>
          <w:snapToGrid w:val="0"/>
          <w:sz w:val="28"/>
          <w:szCs w:val="28"/>
          <w:vertAlign w:val="superscript"/>
          <w:lang w:eastAsia="ru-RU"/>
        </w:rPr>
        <w:t>18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Эти показатели, особенно при их сопоставлении с более ранними данными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(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например,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92,2%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внешнего долга Турции относилось непосредственно к государству и только 7,8%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 частному сектору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19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) отражают изменения в соотношении сил между государственным и частным секторами турецкой экономики за истекшие два последних десятилетия, превращение частного сектора в главного экономического агента и инвестора.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Тем не менее, бремя внешнего долга по-прежнему крайне тяжело для турецкого государства, имея в виду острейший дефицит и постоянную нехватку средств во всех звеньях его бюджетной системы. Согласно данным доклада Управления казначейства Турции, опубликованным весной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г., с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 по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2004 г. и в последующий годы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Турции предстоит выплата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92 977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млн. долл. по внешним долговым обязательствам, в том числе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75 577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млн. – в счет погашения основных сумм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17 400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млн. долл. – в виде процентов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Около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66%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этой суммы относится к государству.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График погашения внешнего долга, составленный Управлением Казначейства представлен в табл. 5.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Справится ли Турция со своевременной выплатой этих громадных сумм, к которым еще прибавятся платежи по кредитам, без которых она, как очевидно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, не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сможет обойтись? Каково нынешнее состояние и перспективы ее платежеспособности? Эти вопросы имеют практический аспект для России в связи с предстоящим в следующем десятилетии расширением поставок отечественного природного газа в Турцию.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90-е годы Турция накопила достаточно крупные золото-валютные резервы, около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70%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которых принадлежат государству, держащему их в ЦБТР. Ниже приводятся данные, характеризующие динамику </w:t>
      </w:r>
      <w:r w:rsidR="004A6DE2" w:rsidRPr="004A6DE2">
        <w:rPr>
          <w:rFonts w:ascii="Times New Roman" w:hAnsi="Times New Roman"/>
          <w:snapToGrid w:val="0"/>
          <w:sz w:val="28"/>
          <w:szCs w:val="28"/>
          <w:lang w:eastAsia="ru-RU"/>
        </w:rPr>
        <w:t>золотовалютных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резервов Турции в 90-е годы (млрд. долл.)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21</w:t>
      </w:r>
      <w:r w:rsidR="00C17F45"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Как видим, за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1991-1998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золото-валютные резервы Турции в целом выросли в 1,4 раза, в том числе у государства (ЦБТР) они утроились, а в частном секторе увеличились более чем на 50%.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Авторитетная международная рейтинговая компания «Стандард энд Пур», давая в этот период невысокую общую оценку кредитоспособности Турции – «В», в декабре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указывала на «высокие риски», но уже в августе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имела «позитивный взгляд на долги Турции в долгосрочной перспективе», а в январе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– «стабильный взгляд на ее долги в долгосрочной перспективе»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бюллетене ДЕИК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органа турецких деловых кругов, участвующих во внешнеэкономических связях, – за март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также отмечалось, что несмотря на финансовые неурядицы на фондовом рынке после кризиса в России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августа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уровень валютных резервов не вызывает опасений за платежеспособность Турции в отношении внешнего долга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Насколько надежны эти оптимистические оценки и утверждения, основанные на достигнутом в конце 90-х годов высоком уровне валютных резервов? Не следует забывать, что превращение турецкой экономики в открытую существенно усилило ее зависимость от конъюнктуры мирового хозяйства, которая характеризуется возрастающей непредсказуемостью. Взять хотя бы происшедший в первой половине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очередной скачок цен на нефть, импортером которой Турция является. В предыдущие годы, когда они держались на низком уровне, затраты страны не ее нефтяной импорт существенно снизились, теперь они вновь возрастут, что уже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может негативно отразиться на ее внешнеторговом балансе и общей платежеспособности.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Обращает на себя внимание снижение темпов роста турецкого экспорта в 90-е годы и его стагнация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Отчасти это было связано с конъюнктурными факторами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падением спроса на зарубежных рынках под влиянием финансовых кризисов в странах Юго-Восточной Азии и в России. Но в не</w:t>
      </w:r>
      <w:r w:rsid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меньшей степени давали о себе знать глубинные причины: непреодоленная технологическая и структурная слабость турецкой обрабатывающей промышленности, поставляющей ныне около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80%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всей экспортной продукции. По мнению многих турецких экономистов устранение государства от участия в развитии промышленности, благодаря которому в прошлом были созданы ныне действующие крупные предприятия в металлургии, нефтепереработке и в некоторых других тяжелых отраслях, переложение этих задач на частный сектор привело к замедлению индустриализации. «Турция задержалась на полпути к индустриализации в полном смысле этого слова», – отмечают авторы фундаментального труда по турецкой экономике Я.Кепенек и Н.Йентюрк. Они считают, что эта цель, намеченная еще в первые годы республики, должна оставаться приоритетной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Но турецкому частному сектору пока не по силам продолжение начатого государством промышленного строительства, не благоприятствует вложению капиталов в современные промышленные отрасли и производства инфляционная обстановка, дороговизна кредита и импорта оборудования, усиливаемая непрерывной девальвацией лиры.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Не оправдывались в 90-е годы надежды на расширение притока в страну иностранных прямых инвестиций, а вместе с ними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высоких технологий, новых производств – и предпринятые для этого шаги, которые должны были сделать Турцию привлекательной для иностранных предприятий. Но несмотря на законодательство о поощрении иностранного капитала, считающегося одним из наиболее либеральных в мире, наличие неплохой инфраструктуры, дешевую рабочую силу, перспективный рынок самой Турции и ее близость к рынкам стран Ближнего и Среднего Востока, стран СНГ, создание сети промышленных и «свободных зон», наделенных налоговым и таможенным иммунитетом, приток иностранных прямых инвестиций в последние годы не превышал 1 млрд. долл. ежегодно. Всего же за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1980-1998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сумма прямых иностранных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инвестиций составила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11,2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(вместо заявленных и согласованных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23,9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млрд.), в том числе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2,4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поступило за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1980-1990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8,9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за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1991-1998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(по сентябрь)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Чистый приток с учетом репатриации капитала, перевода прибыли и других трансфертов был, по-видимому, еще меньше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около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8-9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за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лет. Причины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инертности иностранных инвесторов остаются прежними – гиперинфляция (рост цен, равный в 80-е годы в среднем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50-60%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за год, в 90-е годы достигал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80-90%),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политическая нестабильность в стране и в регионе, проблемы с квалифицированными кадрами.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Хотя в Турции зарегистрировано свыше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4,5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тыс. компаний с участием иностранного капитала, представляющих многие страны мира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(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более половины – из промышленно развитых стран ОЭСР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),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ими не создано крупных предприятий. Свыше половины прямых иностранных инвестиций вложено в торговлю и услуги, в обрабатывающую промышленность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около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40%,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добывающую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1,4,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сельское хозяйство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2,2%</w:t>
      </w:r>
      <w:r w:rsidRPr="004A6DE2">
        <w:rPr>
          <w:rFonts w:ascii="Times New Roman" w:hAnsi="Times New Roman"/>
          <w:noProof/>
          <w:snapToGrid w:val="0"/>
          <w:sz w:val="28"/>
          <w:szCs w:val="28"/>
          <w:vertAlign w:val="superscript"/>
          <w:lang w:eastAsia="ru-RU"/>
        </w:rPr>
        <w:t>26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.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Объекты вложений в промышленности – преимущественно предприятия легкой и перерабатывающих отраслей, сборка тракторов и автомашин, бытовой техники, химия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и фармацевтика.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Многие из таких производств перенесены в Турцию из развитых стран и являются филиалами известных западных и японских компаний. Согласно данным на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г.,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28,3%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прямых иностранных инвестиций вложено в производство транспортных средств и сопутствующих изделий,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13,3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химикатов,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5,8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электромашин,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4,6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 электронику,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4,3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в черную металлургию,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3,9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текстильное и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1,8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 бумажное производство,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15,9%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прочие отрасли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27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Вложения в современные высокотехнологичные, и тем более наукоемкие, производства незначительны и связаны с выпуском несложных, главным образом потребительских изделий.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 целом же деятельность предприятий с участием иностранного капитала хотя и вносит свой вклад в расширение объема турецкого экспорта, но оказывает ограниченное влияние 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его структуру. За истекшие два десятилетия она не претерпела заметных изменений и остается типичной для развивающейся страны среднего уровня.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1997-1998 гг. 53%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турецкого экспорта приходилось на потребительские товары,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42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 изделия промежуточного спроса и лишь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5,4%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на инвестиционные товары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Проблема стабильного роста экспорта и экспортной выручки для Турции связана с необходимостью структурных и технологических изменений, которые требуют крупных капиталовложений, увеличения государственных расходов на образование и подготовку кадров.</w:t>
      </w:r>
    </w:p>
    <w:p w:rsidR="00293926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Среди других источников валютной выручки наибольшим потенциалом обладает индустрия туризма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Турция располагает естественными преимуществами для развития всех ее направлений. В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1997-1998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 валютные доходы страны от туризма составляли около 7 млрд. долл. Ежегодно, или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3,7%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ВВП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–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это пока меньше чем у большинства других средиземноморских стран. Например, в Португалии этот показатель равняется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4,7%,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 Испании и Греции – 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>4,6%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(данные на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1995/96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гг.)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>29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. По имеющимся оценкам, доходы Турции от туризма уже в ближайшие годы могут достичь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10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млрд. долл. в год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 xml:space="preserve">30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при условии</w:t>
      </w:r>
      <w:r w:rsidRPr="004A6DE2">
        <w:rPr>
          <w:rFonts w:ascii="Times New Roman" w:hAnsi="Times New Roman"/>
          <w:snapToGrid w:val="0"/>
          <w:sz w:val="28"/>
          <w:szCs w:val="28"/>
          <w:vertAlign w:val="superscript"/>
          <w:lang w:eastAsia="ru-RU"/>
        </w:rPr>
        <w:t xml:space="preserve">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новых инвестиций и поддержания стабильное обстановки. Что же касается челночной торговли, которая во второй половине 90-х годов обеспечивала Турции крупные валютные доходы, то она скорее всего пойдет на спад, ее резкое сокращение произошло после финансового кризиса в России в августе</w:t>
      </w:r>
      <w:r w:rsidRPr="004A6DE2">
        <w:rPr>
          <w:rFonts w:ascii="Times New Roman" w:hAnsi="Times New Roman"/>
          <w:noProof/>
          <w:snapToGrid w:val="0"/>
          <w:sz w:val="28"/>
          <w:szCs w:val="28"/>
          <w:lang w:eastAsia="ru-RU"/>
        </w:rPr>
        <w:t xml:space="preserve"> 1998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г. В перспективе Турция может рассчитывать на рост валютных доходов от транспортировки через ее территорию энергоносителей (газа и нефти); существуют проекты прокладки трансконтинентальных трубопроводов из стран каспийского бассейна в Западную Европу, но пока нет ясности с их финансированием и трудно назвать реальные сроки их выполнения.</w:t>
      </w:r>
    </w:p>
    <w:p w:rsidR="00C17F45" w:rsidRPr="004A6DE2" w:rsidRDefault="00293926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Подводя итоги, следует отметить, что привлечение Турцией в истекшие полвека внешних ресурсов преимущественно в виде ссудных капиталов явилось одним из наиболее важных факторов ее экономического роста. В то же время с ним связано образование значительного внешнего долга, погашение которого накладывает существенный отпечаток на экономическую стратегию и политику страны. В новое тысячелетие Турция вступает с тяжелым долговым бременем, выплата основных сумм и процентов по внешнему долгу уже в самые ближайшие годы потребует огромного напряжения ее экономики и финансов. Поддержание устойчивой платежеспособности будет напрямую зависеть от того, сможет ли Турция ускорить структурную перестройку экономики, стабилизировать денежную и финансовую сферы. На новом этапе рост валютной выручки может быть достигнут в первую очередь за счет развития высокотехнологичных отраслей и производств, которые обогатят ассортимент и поднимут конкурентоспособность предлагаемых внешнему рынку турецких товаров и услуг.</w:t>
      </w:r>
    </w:p>
    <w:p w:rsidR="004A6DE2" w:rsidRDefault="004A6DE2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17F45" w:rsidRPr="004A6DE2" w:rsidRDefault="00C17F45" w:rsidP="004A6DE2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br w:type="page"/>
      </w:r>
    </w:p>
    <w:p w:rsidR="00293926" w:rsidRPr="004A6DE2" w:rsidRDefault="00C17F45" w:rsidP="004A6DE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 w:rsidRPr="004A6DE2"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  <w:t>СПИСОК ИСТОЧНИКОВ И ЛИТЕРАТУРЫ</w:t>
      </w:r>
    </w:p>
    <w:p w:rsidR="00C17F45" w:rsidRPr="004A6DE2" w:rsidRDefault="00C17F45" w:rsidP="004A6DE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Rustov D.A. Turkey: America’ Forgotten Ally. N.-Y., 1987, c. 136-137.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Kepenek Y., Yentürk N. Türkiye ekonomisi. İstanbul, 1997,c. 232.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Milliyet. 19-20.12.1983.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Capital, İstanbul, 04.1998, c. 1.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 xml:space="preserve">T.C.Resmî gazete, 11.08.1989,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Закон</w:t>
      </w: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 xml:space="preserve"> № 37.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İMF. Turkey: Recent Economic Developments and Selected Issues. Wash., 1998, c. 148.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 xml:space="preserve">İŞBANK. Türkiye‘nin ekonomik göstergeleri 1991-1993. Ankara, 1994, c. 11; 1994,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с</w:t>
      </w: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. 11; 1994-1996, c. 8; DEİK Bulletin. Turkish Economy in Figures. March 1999, c. 5.</w:t>
      </w:r>
    </w:p>
    <w:p w:rsidR="00293926" w:rsidRPr="004A6DE2" w:rsidRDefault="00293926" w:rsidP="004A6DE2">
      <w:pPr>
        <w:pStyle w:val="af9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lang w:val="en-US" w:eastAsia="ru-RU"/>
        </w:rPr>
      </w:pP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 xml:space="preserve">DEİK. Türkiye 1998. An international Comparison. İstanbul, 1998, </w:t>
      </w:r>
      <w:r w:rsidRPr="004A6DE2">
        <w:rPr>
          <w:rFonts w:ascii="Times New Roman" w:hAnsi="Times New Roman"/>
          <w:snapToGrid w:val="0"/>
          <w:sz w:val="28"/>
          <w:szCs w:val="28"/>
          <w:lang w:eastAsia="ru-RU"/>
        </w:rPr>
        <w:t>с</w:t>
      </w:r>
      <w:r w:rsidRPr="004A6DE2">
        <w:rPr>
          <w:rFonts w:ascii="Times New Roman" w:hAnsi="Times New Roman"/>
          <w:snapToGrid w:val="0"/>
          <w:sz w:val="28"/>
          <w:szCs w:val="28"/>
          <w:lang w:val="en-US" w:eastAsia="ru-RU"/>
        </w:rPr>
        <w:t>. 74.</w:t>
      </w:r>
    </w:p>
    <w:p w:rsidR="004A6DE2" w:rsidRPr="004A6DE2" w:rsidRDefault="004A6DE2" w:rsidP="004A6DE2">
      <w:pPr>
        <w:spacing w:after="0" w:line="36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sectPr w:rsidR="004A6DE2" w:rsidRPr="004A6DE2" w:rsidSect="004A6DE2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A1" w:rsidRDefault="00CA45A1" w:rsidP="00C17F45">
      <w:pPr>
        <w:spacing w:after="0" w:line="240" w:lineRule="auto"/>
      </w:pPr>
      <w:r>
        <w:separator/>
      </w:r>
    </w:p>
  </w:endnote>
  <w:endnote w:type="continuationSeparator" w:id="0">
    <w:p w:rsidR="00CA45A1" w:rsidRDefault="00CA45A1" w:rsidP="00C1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ypeWri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lTCY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A1" w:rsidRDefault="00CA45A1" w:rsidP="00C17F45">
      <w:pPr>
        <w:spacing w:after="0" w:line="240" w:lineRule="auto"/>
      </w:pPr>
      <w:r>
        <w:separator/>
      </w:r>
    </w:p>
  </w:footnote>
  <w:footnote w:type="continuationSeparator" w:id="0">
    <w:p w:rsidR="00CA45A1" w:rsidRDefault="00CA45A1" w:rsidP="00C1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DE2" w:rsidRPr="004A6DE2" w:rsidRDefault="004A6DE2" w:rsidP="004A6DE2">
    <w:pPr>
      <w:spacing w:after="0" w:line="360" w:lineRule="auto"/>
      <w:ind w:firstLine="70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AA6C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644A2F53"/>
    <w:multiLevelType w:val="hybridMultilevel"/>
    <w:tmpl w:val="6B5881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3DB"/>
    <w:rsid w:val="001E38F7"/>
    <w:rsid w:val="002076E3"/>
    <w:rsid w:val="00293926"/>
    <w:rsid w:val="004A6DE2"/>
    <w:rsid w:val="00710911"/>
    <w:rsid w:val="007B6688"/>
    <w:rsid w:val="00B51070"/>
    <w:rsid w:val="00C17F45"/>
    <w:rsid w:val="00C5586B"/>
    <w:rsid w:val="00CA45A1"/>
    <w:rsid w:val="00D003DB"/>
    <w:rsid w:val="00D32591"/>
    <w:rsid w:val="00E5357B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6449F6-4854-4A86-9E0B-E39FA565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7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3926"/>
    <w:pPr>
      <w:keepNext/>
      <w:spacing w:after="0" w:line="360" w:lineRule="auto"/>
      <w:ind w:firstLine="720"/>
      <w:jc w:val="right"/>
      <w:outlineLvl w:val="0"/>
    </w:pPr>
    <w:rPr>
      <w:rFonts w:ascii="Arial" w:hAnsi="Arial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93926"/>
    <w:pPr>
      <w:keepNext/>
      <w:spacing w:after="0" w:line="360" w:lineRule="auto"/>
      <w:jc w:val="center"/>
      <w:outlineLvl w:val="1"/>
    </w:pPr>
    <w:rPr>
      <w:rFonts w:ascii="Arial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93926"/>
    <w:pPr>
      <w:keepNext/>
      <w:spacing w:after="0" w:line="360" w:lineRule="auto"/>
      <w:jc w:val="center"/>
      <w:outlineLvl w:val="2"/>
    </w:pPr>
    <w:rPr>
      <w:rFonts w:ascii="Arial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93926"/>
    <w:pPr>
      <w:keepNext/>
      <w:spacing w:after="0" w:line="360" w:lineRule="auto"/>
      <w:ind w:firstLine="720"/>
      <w:jc w:val="both"/>
      <w:outlineLvl w:val="3"/>
    </w:pPr>
    <w:rPr>
      <w:rFonts w:ascii="Arial" w:hAnsi="Arial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93926"/>
    <w:pPr>
      <w:keepNext/>
      <w:spacing w:after="0" w:line="360" w:lineRule="auto"/>
      <w:jc w:val="center"/>
      <w:outlineLvl w:val="4"/>
    </w:pPr>
    <w:rPr>
      <w:rFonts w:ascii="Arial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93926"/>
    <w:pPr>
      <w:keepNext/>
      <w:spacing w:after="0" w:line="360" w:lineRule="auto"/>
      <w:outlineLvl w:val="5"/>
    </w:pPr>
    <w:rPr>
      <w:rFonts w:ascii="Arial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93926"/>
    <w:pPr>
      <w:keepNext/>
      <w:spacing w:after="0" w:line="360" w:lineRule="auto"/>
      <w:ind w:firstLine="142"/>
      <w:outlineLvl w:val="6"/>
    </w:pPr>
    <w:rPr>
      <w:rFonts w:ascii="Arial" w:hAnsi="Arial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93926"/>
    <w:pPr>
      <w:keepNext/>
      <w:spacing w:after="0" w:line="360" w:lineRule="auto"/>
      <w:jc w:val="both"/>
      <w:outlineLvl w:val="7"/>
    </w:pPr>
    <w:rPr>
      <w:rFonts w:ascii="Arial" w:hAnsi="Arial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293926"/>
    <w:pPr>
      <w:keepNext/>
      <w:spacing w:after="0" w:line="360" w:lineRule="auto"/>
      <w:jc w:val="both"/>
      <w:outlineLvl w:val="8"/>
    </w:pPr>
    <w:rPr>
      <w:rFonts w:ascii="Arial" w:hAnsi="Arial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93926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293926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293926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"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293926"/>
    <w:rPr>
      <w:rFonts w:ascii="Arial" w:hAnsi="Arial" w:cs="Times New Roman"/>
      <w:snapToGrid w:val="0"/>
      <w:sz w:val="20"/>
      <w:szCs w:val="20"/>
      <w:u w:val="single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293926"/>
    <w:rPr>
      <w:rFonts w:ascii="Arial" w:hAnsi="Arial" w:cs="Times New Roman"/>
      <w:i/>
      <w:snapToGrid w:val="0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semiHidden/>
    <w:rsid w:val="00293926"/>
    <w:pPr>
      <w:spacing w:after="0" w:line="360" w:lineRule="auto"/>
      <w:ind w:firstLine="720"/>
      <w:jc w:val="both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293926"/>
    <w:pPr>
      <w:spacing w:after="0" w:line="360" w:lineRule="auto"/>
      <w:jc w:val="center"/>
    </w:pPr>
    <w:rPr>
      <w:rFonts w:ascii="Arial" w:hAnsi="Arial"/>
      <w:sz w:val="28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1">
    <w:name w:val="FR1"/>
    <w:rsid w:val="00293926"/>
    <w:pPr>
      <w:widowControl w:val="0"/>
      <w:spacing w:before="80"/>
    </w:pPr>
    <w:rPr>
      <w:rFonts w:ascii="Arial" w:hAnsi="Arial" w:cs="Times New Roman"/>
      <w:sz w:val="16"/>
    </w:rPr>
  </w:style>
  <w:style w:type="paragraph" w:customStyle="1" w:styleId="FR2">
    <w:name w:val="FR2"/>
    <w:rsid w:val="00293926"/>
    <w:pPr>
      <w:widowControl w:val="0"/>
      <w:spacing w:before="400"/>
    </w:pPr>
    <w:rPr>
      <w:rFonts w:ascii="Arial" w:hAnsi="Arial" w:cs="Times New Roman"/>
      <w:sz w:val="12"/>
    </w:rPr>
  </w:style>
  <w:style w:type="paragraph" w:customStyle="1" w:styleId="FR4">
    <w:name w:val="FR4"/>
    <w:rsid w:val="00293926"/>
    <w:pPr>
      <w:widowControl w:val="0"/>
      <w:spacing w:line="480" w:lineRule="auto"/>
      <w:ind w:firstLine="700"/>
    </w:pPr>
    <w:rPr>
      <w:rFonts w:ascii="Courier New" w:hAnsi="Courier New" w:cs="Times New Roman"/>
      <w:sz w:val="18"/>
    </w:rPr>
  </w:style>
  <w:style w:type="paragraph" w:customStyle="1" w:styleId="FR3">
    <w:name w:val="FR3"/>
    <w:rsid w:val="00293926"/>
    <w:pPr>
      <w:widowControl w:val="0"/>
    </w:pPr>
    <w:rPr>
      <w:rFonts w:ascii="Times New Roman" w:hAnsi="Times New Roman" w:cs="Times New Roman"/>
      <w:b/>
      <w:sz w:val="18"/>
    </w:rPr>
  </w:style>
  <w:style w:type="paragraph" w:customStyle="1" w:styleId="FR5">
    <w:name w:val="FR5"/>
    <w:rsid w:val="00293926"/>
    <w:pPr>
      <w:widowControl w:val="0"/>
    </w:pPr>
    <w:rPr>
      <w:rFonts w:ascii="Courier New" w:hAnsi="Courier New" w:cs="Times New Roman"/>
      <w:sz w:val="12"/>
    </w:rPr>
  </w:style>
  <w:style w:type="paragraph" w:styleId="21">
    <w:name w:val="Body Text Indent 2"/>
    <w:basedOn w:val="a"/>
    <w:link w:val="22"/>
    <w:uiPriority w:val="99"/>
    <w:semiHidden/>
    <w:rsid w:val="00293926"/>
    <w:pPr>
      <w:spacing w:after="0" w:line="360" w:lineRule="auto"/>
      <w:ind w:firstLine="720"/>
      <w:jc w:val="both"/>
    </w:pPr>
    <w:rPr>
      <w:rFonts w:ascii="Arial" w:hAnsi="Arial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styleId="a7">
    <w:name w:val="footnote reference"/>
    <w:uiPriority w:val="99"/>
    <w:semiHidden/>
    <w:rsid w:val="00293926"/>
    <w:rPr>
      <w:rFonts w:cs="Times New Roman"/>
      <w:vertAlign w:val="superscript"/>
    </w:rPr>
  </w:style>
  <w:style w:type="paragraph" w:styleId="23">
    <w:name w:val="Body Text 2"/>
    <w:basedOn w:val="a"/>
    <w:link w:val="24"/>
    <w:uiPriority w:val="99"/>
    <w:semiHidden/>
    <w:rsid w:val="00293926"/>
    <w:pPr>
      <w:spacing w:after="0" w:line="360" w:lineRule="auto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semiHidden/>
    <w:locked/>
    <w:rsid w:val="00293926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paragraph" w:styleId="31">
    <w:name w:val="Body Text 3"/>
    <w:basedOn w:val="a"/>
    <w:link w:val="32"/>
    <w:uiPriority w:val="99"/>
    <w:semiHidden/>
    <w:rsid w:val="00293926"/>
    <w:pPr>
      <w:spacing w:after="0" w:line="360" w:lineRule="auto"/>
      <w:jc w:val="both"/>
    </w:pPr>
    <w:rPr>
      <w:rFonts w:ascii="Arial" w:hAnsi="Arial"/>
      <w:sz w:val="28"/>
      <w:szCs w:val="20"/>
      <w:u w:val="single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sid w:val="00293926"/>
    <w:rPr>
      <w:rFonts w:ascii="Arial" w:hAnsi="Arial" w:cs="Times New Roman"/>
      <w:snapToGrid w:val="0"/>
      <w:sz w:val="20"/>
      <w:szCs w:val="20"/>
      <w:u w:val="single"/>
      <w:lang w:val="x-none" w:eastAsia="ru-RU"/>
    </w:rPr>
  </w:style>
  <w:style w:type="paragraph" w:styleId="a8">
    <w:name w:val="footnote text"/>
    <w:basedOn w:val="a"/>
    <w:link w:val="a9"/>
    <w:uiPriority w:val="99"/>
    <w:semiHidden/>
    <w:rsid w:val="00293926"/>
    <w:pPr>
      <w:widowControl w:val="0"/>
      <w:spacing w:after="0" w:line="520" w:lineRule="auto"/>
      <w:ind w:firstLine="5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sid w:val="00293926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semiHidden/>
    <w:rsid w:val="00293926"/>
    <w:pPr>
      <w:spacing w:after="0" w:line="360" w:lineRule="auto"/>
      <w:ind w:firstLine="720"/>
      <w:jc w:val="center"/>
    </w:pPr>
    <w:rPr>
      <w:rFonts w:ascii="Arial" w:hAnsi="Arial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293926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5">
    <w:name w:val="List 2"/>
    <w:basedOn w:val="a"/>
    <w:uiPriority w:val="99"/>
    <w:semiHidden/>
    <w:rsid w:val="00293926"/>
    <w:pPr>
      <w:spacing w:after="0" w:line="432" w:lineRule="auto"/>
      <w:ind w:left="566" w:hanging="283"/>
      <w:jc w:val="both"/>
    </w:pPr>
    <w:rPr>
      <w:rFonts w:ascii="TypeWriter" w:hAnsi="TypeWriter"/>
      <w:sz w:val="24"/>
      <w:szCs w:val="20"/>
      <w:lang w:eastAsia="ru-RU"/>
    </w:rPr>
  </w:style>
  <w:style w:type="paragraph" w:styleId="26">
    <w:name w:val="List Continue 2"/>
    <w:basedOn w:val="a"/>
    <w:uiPriority w:val="99"/>
    <w:semiHidden/>
    <w:rsid w:val="00293926"/>
    <w:pPr>
      <w:spacing w:after="120" w:line="432" w:lineRule="auto"/>
      <w:ind w:left="566" w:firstLine="680"/>
      <w:jc w:val="both"/>
    </w:pPr>
    <w:rPr>
      <w:rFonts w:ascii="TypeWriter" w:hAnsi="TypeWriter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semiHidden/>
    <w:rsid w:val="0029392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link w:val="aa"/>
    <w:uiPriority w:val="99"/>
    <w:semiHidden/>
    <w:locked/>
    <w:rsid w:val="00293926"/>
    <w:rPr>
      <w:rFonts w:ascii="Courier New" w:hAnsi="Courier New" w:cs="Times New Roman"/>
      <w:sz w:val="20"/>
      <w:szCs w:val="20"/>
      <w:lang w:val="x-none" w:eastAsia="ru-RU"/>
    </w:rPr>
  </w:style>
  <w:style w:type="paragraph" w:styleId="ac">
    <w:name w:val="endnote text"/>
    <w:basedOn w:val="a"/>
    <w:link w:val="ad"/>
    <w:uiPriority w:val="99"/>
    <w:semiHidden/>
    <w:rsid w:val="00293926"/>
    <w:pPr>
      <w:widowControl w:val="0"/>
      <w:spacing w:after="0" w:line="520" w:lineRule="auto"/>
      <w:ind w:firstLine="5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uiPriority w:val="99"/>
    <w:semiHidden/>
    <w:locked/>
    <w:rsid w:val="00293926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e">
    <w:name w:val="footer"/>
    <w:basedOn w:val="a"/>
    <w:link w:val="af"/>
    <w:uiPriority w:val="99"/>
    <w:rsid w:val="0029392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29392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uiPriority w:val="99"/>
    <w:semiHidden/>
    <w:rsid w:val="00293926"/>
    <w:rPr>
      <w:rFonts w:cs="Times New Roman"/>
    </w:rPr>
  </w:style>
  <w:style w:type="paragraph" w:styleId="27">
    <w:name w:val="List Bullet 2"/>
    <w:basedOn w:val="a"/>
    <w:autoRedefine/>
    <w:uiPriority w:val="99"/>
    <w:semiHidden/>
    <w:rsid w:val="00293926"/>
    <w:pPr>
      <w:widowControl w:val="0"/>
      <w:autoSpaceDE w:val="0"/>
      <w:autoSpaceDN w:val="0"/>
      <w:adjustRightInd w:val="0"/>
      <w:spacing w:after="0" w:line="240" w:lineRule="auto"/>
      <w:ind w:firstLine="425"/>
    </w:pPr>
    <w:rPr>
      <w:rFonts w:ascii="Times New Roman" w:hAnsi="Times New Roman"/>
      <w:sz w:val="18"/>
      <w:szCs w:val="28"/>
      <w:lang w:eastAsia="ru-RU"/>
    </w:rPr>
  </w:style>
  <w:style w:type="character" w:styleId="af1">
    <w:name w:val="FollowedHyperlink"/>
    <w:uiPriority w:val="99"/>
    <w:semiHidden/>
    <w:rsid w:val="00293926"/>
    <w:rPr>
      <w:rFonts w:cs="Times New Roman"/>
      <w:color w:val="800080"/>
      <w:u w:val="single"/>
    </w:rPr>
  </w:style>
  <w:style w:type="character" w:styleId="af2">
    <w:name w:val="Hyperlink"/>
    <w:uiPriority w:val="99"/>
    <w:semiHidden/>
    <w:rsid w:val="00293926"/>
    <w:rPr>
      <w:rFonts w:cs="Times New Roman"/>
      <w:color w:val="0000FF"/>
      <w:u w:val="single"/>
    </w:rPr>
  </w:style>
  <w:style w:type="paragraph" w:styleId="af3">
    <w:name w:val="Normal Indent"/>
    <w:basedOn w:val="a"/>
    <w:uiPriority w:val="99"/>
    <w:semiHidden/>
    <w:rsid w:val="00293926"/>
    <w:pPr>
      <w:widowControl w:val="0"/>
      <w:autoSpaceDE w:val="0"/>
      <w:autoSpaceDN w:val="0"/>
      <w:adjustRightInd w:val="0"/>
      <w:spacing w:after="0" w:line="460" w:lineRule="auto"/>
      <w:ind w:left="708"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styleId="af4">
    <w:name w:val="endnote reference"/>
    <w:uiPriority w:val="99"/>
    <w:semiHidden/>
    <w:rsid w:val="00293926"/>
    <w:rPr>
      <w:rFonts w:cs="Times New Roman"/>
      <w:vertAlign w:val="superscript"/>
    </w:rPr>
  </w:style>
  <w:style w:type="paragraph" w:styleId="af5">
    <w:name w:val="Title"/>
    <w:basedOn w:val="a"/>
    <w:link w:val="af6"/>
    <w:uiPriority w:val="10"/>
    <w:qFormat/>
    <w:rsid w:val="00293926"/>
    <w:pPr>
      <w:spacing w:after="0" w:line="240" w:lineRule="auto"/>
      <w:jc w:val="center"/>
    </w:pPr>
    <w:rPr>
      <w:rFonts w:ascii="Arial" w:hAnsi="Arial"/>
      <w:sz w:val="28"/>
      <w:szCs w:val="20"/>
      <w:lang w:eastAsia="ru-RU"/>
    </w:rPr>
  </w:style>
  <w:style w:type="character" w:customStyle="1" w:styleId="af6">
    <w:name w:val="Название Знак"/>
    <w:link w:val="af5"/>
    <w:uiPriority w:val="10"/>
    <w:locked/>
    <w:rsid w:val="00293926"/>
    <w:rPr>
      <w:rFonts w:ascii="Arial" w:hAnsi="Arial" w:cs="Times New Roman"/>
      <w:sz w:val="20"/>
      <w:szCs w:val="20"/>
      <w:lang w:val="x-none" w:eastAsia="ru-RU"/>
    </w:rPr>
  </w:style>
  <w:style w:type="paragraph" w:customStyle="1" w:styleId="NormalPar">
    <w:name w:val="NormalPar"/>
    <w:rsid w:val="00293926"/>
    <w:rPr>
      <w:rFonts w:ascii="TimelTCY" w:hAnsi="TimelTCY" w:cs="Times New Roman"/>
      <w:sz w:val="24"/>
    </w:rPr>
  </w:style>
  <w:style w:type="paragraph" w:styleId="af7">
    <w:name w:val="header"/>
    <w:basedOn w:val="a"/>
    <w:link w:val="af8"/>
    <w:uiPriority w:val="99"/>
    <w:semiHidden/>
    <w:rsid w:val="002939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semiHidden/>
    <w:locked/>
    <w:rsid w:val="0029392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9">
    <w:name w:val="List Paragraph"/>
    <w:basedOn w:val="a"/>
    <w:uiPriority w:val="34"/>
    <w:qFormat/>
    <w:rsid w:val="00C1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4823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Гоблин</dc:creator>
  <cp:keywords/>
  <dc:description/>
  <cp:lastModifiedBy>admin</cp:lastModifiedBy>
  <cp:revision>2</cp:revision>
  <dcterms:created xsi:type="dcterms:W3CDTF">2014-03-24T19:05:00Z</dcterms:created>
  <dcterms:modified xsi:type="dcterms:W3CDTF">2014-03-24T19:05:00Z</dcterms:modified>
</cp:coreProperties>
</file>