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60E" w:rsidRPr="005D7FB4" w:rsidRDefault="00AA260E" w:rsidP="005D7FB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bCs/>
          <w:sz w:val="28"/>
          <w:szCs w:val="72"/>
        </w:rPr>
      </w:pPr>
    </w:p>
    <w:p w:rsidR="00AA260E" w:rsidRDefault="00AA260E" w:rsidP="005D7FB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bCs/>
          <w:sz w:val="28"/>
          <w:szCs w:val="72"/>
        </w:rPr>
      </w:pPr>
    </w:p>
    <w:p w:rsidR="005D7FB4" w:rsidRDefault="005D7FB4" w:rsidP="005D7FB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bCs/>
          <w:sz w:val="28"/>
          <w:szCs w:val="72"/>
        </w:rPr>
      </w:pPr>
    </w:p>
    <w:p w:rsidR="005D7FB4" w:rsidRDefault="005D7FB4" w:rsidP="005D7FB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bCs/>
          <w:sz w:val="28"/>
          <w:szCs w:val="72"/>
        </w:rPr>
      </w:pPr>
    </w:p>
    <w:p w:rsidR="005D7FB4" w:rsidRDefault="005D7FB4" w:rsidP="005D7FB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bCs/>
          <w:sz w:val="28"/>
          <w:szCs w:val="72"/>
        </w:rPr>
      </w:pPr>
    </w:p>
    <w:p w:rsidR="005D7FB4" w:rsidRDefault="005D7FB4" w:rsidP="005D7FB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bCs/>
          <w:sz w:val="28"/>
          <w:szCs w:val="72"/>
        </w:rPr>
      </w:pPr>
    </w:p>
    <w:p w:rsidR="005D7FB4" w:rsidRDefault="005D7FB4" w:rsidP="005D7FB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bCs/>
          <w:sz w:val="28"/>
          <w:szCs w:val="72"/>
        </w:rPr>
      </w:pPr>
    </w:p>
    <w:p w:rsidR="005D7FB4" w:rsidRDefault="005D7FB4" w:rsidP="005D7FB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bCs/>
          <w:sz w:val="28"/>
          <w:szCs w:val="72"/>
        </w:rPr>
      </w:pPr>
    </w:p>
    <w:p w:rsidR="005D7FB4" w:rsidRDefault="005D7FB4" w:rsidP="005D7FB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bCs/>
          <w:sz w:val="28"/>
          <w:szCs w:val="72"/>
        </w:rPr>
      </w:pPr>
    </w:p>
    <w:p w:rsidR="005D7FB4" w:rsidRDefault="005D7FB4" w:rsidP="005D7FB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bCs/>
          <w:sz w:val="28"/>
          <w:szCs w:val="72"/>
        </w:rPr>
      </w:pPr>
    </w:p>
    <w:p w:rsidR="005D7FB4" w:rsidRDefault="005D7FB4" w:rsidP="005D7FB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bCs/>
          <w:sz w:val="28"/>
          <w:szCs w:val="72"/>
        </w:rPr>
      </w:pPr>
    </w:p>
    <w:p w:rsidR="005D7FB4" w:rsidRDefault="005D7FB4" w:rsidP="005D7FB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bCs/>
          <w:sz w:val="28"/>
          <w:szCs w:val="72"/>
        </w:rPr>
      </w:pPr>
    </w:p>
    <w:p w:rsidR="005D7FB4" w:rsidRDefault="005D7FB4" w:rsidP="005D7FB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bCs/>
          <w:sz w:val="28"/>
          <w:szCs w:val="72"/>
        </w:rPr>
      </w:pPr>
    </w:p>
    <w:p w:rsidR="005D7FB4" w:rsidRPr="005D7FB4" w:rsidRDefault="005D7FB4" w:rsidP="005D7FB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bCs/>
          <w:sz w:val="28"/>
          <w:szCs w:val="72"/>
        </w:rPr>
      </w:pPr>
    </w:p>
    <w:p w:rsidR="00AA260E" w:rsidRPr="005D7FB4" w:rsidRDefault="00AA260E" w:rsidP="005D7FB4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="TimesNewRomanPSMT"/>
          <w:b/>
          <w:bCs/>
          <w:sz w:val="28"/>
          <w:szCs w:val="72"/>
        </w:rPr>
      </w:pPr>
      <w:r w:rsidRPr="005D7FB4">
        <w:rPr>
          <w:rFonts w:eastAsia="TimesNewRomanPSMT"/>
          <w:b/>
          <w:bCs/>
          <w:sz w:val="28"/>
          <w:szCs w:val="72"/>
        </w:rPr>
        <w:t>Зовнішньоекономічні зв’язки України з Об’єднаними Арабськими Еміратами</w:t>
      </w:r>
    </w:p>
    <w:p w:rsidR="001A72A7" w:rsidRPr="005D7FB4" w:rsidRDefault="005D7FB4" w:rsidP="005D7FB4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="TimesNewRomanPSMT"/>
          <w:b/>
          <w:bCs/>
          <w:sz w:val="28"/>
          <w:szCs w:val="36"/>
        </w:rPr>
      </w:pPr>
      <w:r>
        <w:rPr>
          <w:rFonts w:eastAsia="TimesNewRomanPSMT"/>
          <w:b/>
          <w:sz w:val="28"/>
          <w:szCs w:val="28"/>
        </w:rPr>
        <w:br w:type="page"/>
      </w:r>
      <w:r w:rsidR="00B93404" w:rsidRPr="005D7FB4">
        <w:rPr>
          <w:rFonts w:eastAsia="TimesNewRomanPSMT"/>
          <w:b/>
          <w:bCs/>
          <w:sz w:val="28"/>
          <w:szCs w:val="36"/>
        </w:rPr>
        <w:t>План</w:t>
      </w:r>
    </w:p>
    <w:p w:rsidR="003E15A3" w:rsidRPr="005D7FB4" w:rsidRDefault="003E15A3" w:rsidP="005D7FB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sz w:val="28"/>
          <w:szCs w:val="28"/>
        </w:rPr>
      </w:pPr>
    </w:p>
    <w:p w:rsidR="00B93404" w:rsidRPr="005D7FB4" w:rsidRDefault="00B93404" w:rsidP="005D7FB4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  <w:sz w:val="28"/>
          <w:szCs w:val="28"/>
        </w:rPr>
      </w:pPr>
      <w:r w:rsidRPr="005D7FB4">
        <w:rPr>
          <w:rFonts w:eastAsia="TimesNewRomanPSMT"/>
          <w:sz w:val="28"/>
          <w:szCs w:val="28"/>
        </w:rPr>
        <w:t>Вступ</w:t>
      </w:r>
    </w:p>
    <w:p w:rsidR="008D55EB" w:rsidRPr="005D7FB4" w:rsidRDefault="00B93404" w:rsidP="005D7FB4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  <w:sz w:val="28"/>
          <w:szCs w:val="28"/>
        </w:rPr>
      </w:pPr>
      <w:r w:rsidRPr="005D7FB4">
        <w:rPr>
          <w:rFonts w:eastAsia="TimesNewRomanPSMT"/>
          <w:sz w:val="28"/>
          <w:szCs w:val="28"/>
        </w:rPr>
        <w:t>Зовнішньоекономічні зв’язки України з Об’єднаними Арабськими Еміратами</w:t>
      </w:r>
    </w:p>
    <w:p w:rsidR="00093114" w:rsidRPr="005D7FB4" w:rsidRDefault="00093114" w:rsidP="005D7FB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eastAsia="TimesNewRomanPSMT"/>
          <w:sz w:val="28"/>
          <w:szCs w:val="28"/>
        </w:rPr>
      </w:pPr>
      <w:r w:rsidRPr="005D7FB4">
        <w:rPr>
          <w:rFonts w:eastAsia="TimesNewRomanPSMT"/>
          <w:sz w:val="28"/>
          <w:szCs w:val="28"/>
        </w:rPr>
        <w:t>Встановлення дипломатичних відносин між країнами</w:t>
      </w:r>
      <w:r w:rsidR="004B28B8" w:rsidRPr="005D7FB4">
        <w:rPr>
          <w:rFonts w:eastAsia="TimesNewRomanPSMT"/>
          <w:sz w:val="28"/>
          <w:szCs w:val="28"/>
        </w:rPr>
        <w:t>.</w:t>
      </w:r>
    </w:p>
    <w:p w:rsidR="004B28B8" w:rsidRPr="005D7FB4" w:rsidRDefault="00093114" w:rsidP="005D7FB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eastAsia="TimesNewRomanPSMT"/>
          <w:sz w:val="28"/>
          <w:szCs w:val="28"/>
        </w:rPr>
      </w:pPr>
      <w:r w:rsidRPr="005D7FB4">
        <w:rPr>
          <w:rFonts w:eastAsia="TimesNewRomanPSMT"/>
          <w:sz w:val="28"/>
          <w:szCs w:val="28"/>
        </w:rPr>
        <w:t>Економічні зв’язки з Об’єднаними Арабськими Еміратами в період</w:t>
      </w:r>
      <w:r w:rsidR="004B28B8" w:rsidRPr="005D7FB4">
        <w:rPr>
          <w:rFonts w:eastAsia="TimesNewRomanPSMT"/>
          <w:sz w:val="28"/>
          <w:szCs w:val="28"/>
        </w:rPr>
        <w:t xml:space="preserve"> становлення молодої української держави.</w:t>
      </w:r>
    </w:p>
    <w:p w:rsidR="00093114" w:rsidRPr="005D7FB4" w:rsidRDefault="004B28B8" w:rsidP="005D7FB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eastAsia="TimesNewRomanPSMT"/>
          <w:sz w:val="28"/>
          <w:szCs w:val="28"/>
        </w:rPr>
      </w:pPr>
      <w:r w:rsidRPr="005D7FB4">
        <w:rPr>
          <w:rFonts w:eastAsia="TimesNewRomanPSMT"/>
          <w:sz w:val="28"/>
          <w:szCs w:val="28"/>
        </w:rPr>
        <w:t>Партнерство країн в економічній сфері на сучасному етапі.</w:t>
      </w:r>
      <w:r w:rsidR="00093114" w:rsidRPr="005D7FB4">
        <w:rPr>
          <w:rFonts w:eastAsia="TimesNewRomanPSMT"/>
          <w:sz w:val="28"/>
          <w:szCs w:val="28"/>
        </w:rPr>
        <w:t xml:space="preserve"> </w:t>
      </w:r>
    </w:p>
    <w:p w:rsidR="00B93404" w:rsidRPr="005D7FB4" w:rsidRDefault="003E15A3" w:rsidP="005D7FB4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  <w:sz w:val="28"/>
          <w:szCs w:val="28"/>
        </w:rPr>
      </w:pPr>
      <w:r w:rsidRPr="005D7FB4">
        <w:rPr>
          <w:rFonts w:eastAsia="TimesNewRomanPSMT"/>
          <w:sz w:val="28"/>
          <w:szCs w:val="28"/>
        </w:rPr>
        <w:t>Висновки</w:t>
      </w:r>
    </w:p>
    <w:p w:rsidR="004344E4" w:rsidRPr="005D7FB4" w:rsidRDefault="004344E4" w:rsidP="005D7FB4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  <w:sz w:val="28"/>
          <w:szCs w:val="28"/>
        </w:rPr>
      </w:pPr>
      <w:r w:rsidRPr="005D7FB4">
        <w:rPr>
          <w:rFonts w:eastAsia="TimesNewRomanPSMT"/>
          <w:sz w:val="28"/>
          <w:szCs w:val="28"/>
        </w:rPr>
        <w:t>Список використаної літератури</w:t>
      </w:r>
    </w:p>
    <w:p w:rsidR="004344E4" w:rsidRPr="005D7FB4" w:rsidRDefault="005D7FB4" w:rsidP="005D7FB4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="TimesNewRomanPSMT"/>
          <w:b/>
          <w:bCs/>
          <w:sz w:val="28"/>
          <w:szCs w:val="32"/>
        </w:rPr>
      </w:pPr>
      <w:r>
        <w:rPr>
          <w:rFonts w:eastAsia="TimesNewRomanPSMT"/>
          <w:sz w:val="28"/>
          <w:szCs w:val="28"/>
        </w:rPr>
        <w:br w:type="page"/>
      </w:r>
      <w:r w:rsidR="004344E4" w:rsidRPr="005D7FB4">
        <w:rPr>
          <w:rFonts w:eastAsia="TimesNewRomanPSMT"/>
          <w:b/>
          <w:bCs/>
          <w:sz w:val="28"/>
          <w:szCs w:val="32"/>
        </w:rPr>
        <w:t>Вступ</w:t>
      </w:r>
    </w:p>
    <w:p w:rsidR="00CE32AA" w:rsidRPr="005D7FB4" w:rsidRDefault="00CE32AA" w:rsidP="005D7FB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sz w:val="28"/>
          <w:szCs w:val="28"/>
        </w:rPr>
      </w:pPr>
    </w:p>
    <w:p w:rsidR="006E0BE2" w:rsidRPr="005D7FB4" w:rsidRDefault="00171858" w:rsidP="005D7FB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sz w:val="28"/>
          <w:szCs w:val="28"/>
        </w:rPr>
      </w:pPr>
      <w:r w:rsidRPr="005D7FB4">
        <w:rPr>
          <w:rFonts w:eastAsia="TimesNewRomanPSMT"/>
          <w:sz w:val="28"/>
          <w:szCs w:val="28"/>
        </w:rPr>
        <w:t>Важливою складовою зовнішньоекономічних відносин України є зовнішньоекономічна діяльність регіонів України, яка відкриває для країни великі перспективи на різних світових ринках. Одним із красномовних прикладів цього є економічне співробітництво України з країнами Близького Сходу.</w:t>
      </w:r>
    </w:p>
    <w:p w:rsidR="00647EA5" w:rsidRPr="005D7FB4" w:rsidRDefault="00AD3080" w:rsidP="005D7FB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sz w:val="28"/>
          <w:szCs w:val="28"/>
        </w:rPr>
      </w:pPr>
      <w:r w:rsidRPr="005D7FB4">
        <w:rPr>
          <w:rFonts w:eastAsia="TimesNewRomanPSMT"/>
          <w:sz w:val="28"/>
          <w:szCs w:val="28"/>
        </w:rPr>
        <w:t>Але присутність близькосхідних країн у наших економічних зв'яз</w:t>
      </w:r>
      <w:r w:rsidR="00DD2E38" w:rsidRPr="005D7FB4">
        <w:rPr>
          <w:rFonts w:eastAsia="TimesNewRomanPSMT"/>
          <w:sz w:val="28"/>
          <w:szCs w:val="28"/>
        </w:rPr>
        <w:t>ках незначна з наступних причин</w:t>
      </w:r>
      <w:r w:rsidRPr="005D7FB4">
        <w:rPr>
          <w:rFonts w:eastAsia="TimesNewRomanPSMT"/>
          <w:sz w:val="28"/>
          <w:szCs w:val="28"/>
        </w:rPr>
        <w:t>,</w:t>
      </w:r>
      <w:r w:rsidR="00DD2E38" w:rsidRPr="005D7FB4">
        <w:rPr>
          <w:rFonts w:eastAsia="TimesNewRomanPSMT"/>
          <w:sz w:val="28"/>
          <w:szCs w:val="28"/>
        </w:rPr>
        <w:t xml:space="preserve"> адже Україні – порівняно молодій незалежній державі – </w:t>
      </w:r>
      <w:r w:rsidRPr="005D7FB4">
        <w:rPr>
          <w:rFonts w:eastAsia="TimesNewRomanPSMT"/>
          <w:sz w:val="28"/>
          <w:szCs w:val="28"/>
        </w:rPr>
        <w:t>не так просто зайняти своє місце на арабському ринку, з огляду на наявність серйозних конкурентів, що мають тривалі й міцні зв'язки з арабськими країнами. Це насамперед колишні метрополії (Великобританія, Франція, Італія, Іспанія), а також США, Росія, Німеччина і Китай. Арабські</w:t>
      </w:r>
      <w:r w:rsidR="00DD2E38" w:rsidRPr="005D7FB4">
        <w:rPr>
          <w:rFonts w:eastAsia="TimesNewRomanPSMT"/>
          <w:sz w:val="28"/>
          <w:szCs w:val="28"/>
        </w:rPr>
        <w:t xml:space="preserve"> </w:t>
      </w:r>
      <w:r w:rsidRPr="005D7FB4">
        <w:rPr>
          <w:rFonts w:eastAsia="TimesNewRomanPSMT"/>
          <w:sz w:val="28"/>
          <w:szCs w:val="28"/>
        </w:rPr>
        <w:t>бізнесмени мають дуже неясні уявлення про</w:t>
      </w:r>
      <w:r w:rsidR="00DD2E38" w:rsidRPr="005D7FB4">
        <w:rPr>
          <w:rFonts w:eastAsia="TimesNewRomanPSMT"/>
          <w:sz w:val="28"/>
          <w:szCs w:val="28"/>
        </w:rPr>
        <w:t xml:space="preserve"> </w:t>
      </w:r>
      <w:r w:rsidRPr="005D7FB4">
        <w:rPr>
          <w:rFonts w:eastAsia="TimesNewRomanPSMT"/>
          <w:sz w:val="28"/>
          <w:szCs w:val="28"/>
        </w:rPr>
        <w:t>Україну та її можливості, не говорячи вже про</w:t>
      </w:r>
      <w:r w:rsidR="00DD2E38" w:rsidRPr="005D7FB4">
        <w:rPr>
          <w:rFonts w:eastAsia="TimesNewRomanPSMT"/>
          <w:sz w:val="28"/>
          <w:szCs w:val="28"/>
        </w:rPr>
        <w:t xml:space="preserve"> регіони. Також не меншою проблемою є те, що</w:t>
      </w:r>
      <w:r w:rsidRPr="005D7FB4">
        <w:rPr>
          <w:rFonts w:eastAsia="TimesNewRomanPSMT"/>
          <w:sz w:val="28"/>
          <w:szCs w:val="28"/>
        </w:rPr>
        <w:t xml:space="preserve"> на нерозвиненості політичних,</w:t>
      </w:r>
      <w:r w:rsidR="00DD2E38" w:rsidRPr="005D7FB4">
        <w:rPr>
          <w:rFonts w:eastAsia="TimesNewRomanPSMT"/>
          <w:sz w:val="28"/>
          <w:szCs w:val="28"/>
        </w:rPr>
        <w:t xml:space="preserve"> </w:t>
      </w:r>
      <w:r w:rsidRPr="005D7FB4">
        <w:rPr>
          <w:rFonts w:eastAsia="TimesNewRomanPSMT"/>
          <w:sz w:val="28"/>
          <w:szCs w:val="28"/>
        </w:rPr>
        <w:t>економічних і гуманітарних контактів як на</w:t>
      </w:r>
      <w:r w:rsidR="00DD2E38" w:rsidRPr="005D7FB4">
        <w:rPr>
          <w:rFonts w:eastAsia="TimesNewRomanPSMT"/>
          <w:sz w:val="28"/>
          <w:szCs w:val="28"/>
        </w:rPr>
        <w:t xml:space="preserve"> </w:t>
      </w:r>
      <w:r w:rsidRPr="005D7FB4">
        <w:rPr>
          <w:rFonts w:eastAsia="TimesNewRomanPSMT"/>
          <w:sz w:val="28"/>
          <w:szCs w:val="28"/>
        </w:rPr>
        <w:t>регіональному, так і на державному рівні дуже</w:t>
      </w:r>
      <w:r w:rsidR="00DD2E38" w:rsidRPr="005D7FB4">
        <w:rPr>
          <w:rFonts w:eastAsia="TimesNewRomanPSMT"/>
          <w:sz w:val="28"/>
          <w:szCs w:val="28"/>
        </w:rPr>
        <w:t xml:space="preserve"> </w:t>
      </w:r>
      <w:r w:rsidRPr="005D7FB4">
        <w:rPr>
          <w:rFonts w:eastAsia="TimesNewRomanPSMT"/>
          <w:sz w:val="28"/>
          <w:szCs w:val="28"/>
        </w:rPr>
        <w:t>негативно позначається відсутність достатньої</w:t>
      </w:r>
      <w:r w:rsidR="00DD2E38" w:rsidRPr="005D7FB4">
        <w:rPr>
          <w:rFonts w:eastAsia="TimesNewRomanPSMT"/>
          <w:sz w:val="28"/>
          <w:szCs w:val="28"/>
        </w:rPr>
        <w:t xml:space="preserve"> </w:t>
      </w:r>
      <w:r w:rsidRPr="005D7FB4">
        <w:rPr>
          <w:rFonts w:eastAsia="TimesNewRomanPSMT"/>
          <w:sz w:val="28"/>
          <w:szCs w:val="28"/>
        </w:rPr>
        <w:t>кількості підг</w:t>
      </w:r>
      <w:r w:rsidR="00DD2E38" w:rsidRPr="005D7FB4">
        <w:rPr>
          <w:rFonts w:eastAsia="TimesNewRomanPSMT"/>
          <w:sz w:val="28"/>
          <w:szCs w:val="28"/>
        </w:rPr>
        <w:t>отовлених кадрів, здатних працю</w:t>
      </w:r>
      <w:r w:rsidRPr="005D7FB4">
        <w:rPr>
          <w:rFonts w:eastAsia="TimesNewRomanPSMT"/>
          <w:sz w:val="28"/>
          <w:szCs w:val="28"/>
        </w:rPr>
        <w:t xml:space="preserve">вати з арабськими партнерами. </w:t>
      </w:r>
      <w:r w:rsidR="00DD2E38" w:rsidRPr="005D7FB4">
        <w:rPr>
          <w:rFonts w:eastAsia="TimesNewRomanPSMT"/>
          <w:sz w:val="28"/>
          <w:szCs w:val="28"/>
        </w:rPr>
        <w:t xml:space="preserve">Проте </w:t>
      </w:r>
      <w:r w:rsidRPr="005D7FB4">
        <w:rPr>
          <w:rFonts w:eastAsia="TimesNewRomanPSMT"/>
          <w:sz w:val="28"/>
          <w:szCs w:val="28"/>
        </w:rPr>
        <w:t>ці причини мають тимчасовий характер, і можна</w:t>
      </w:r>
      <w:r w:rsidR="00DD2E38" w:rsidRPr="005D7FB4">
        <w:rPr>
          <w:rFonts w:eastAsia="TimesNewRomanPSMT"/>
          <w:sz w:val="28"/>
          <w:szCs w:val="28"/>
        </w:rPr>
        <w:t xml:space="preserve"> </w:t>
      </w:r>
      <w:r w:rsidRPr="005D7FB4">
        <w:rPr>
          <w:rFonts w:eastAsia="TimesNewRomanPSMT"/>
          <w:sz w:val="28"/>
          <w:szCs w:val="28"/>
        </w:rPr>
        <w:t>з упевненістю прогнозувати збільшення обсягу</w:t>
      </w:r>
      <w:r w:rsidR="00DD2E38" w:rsidRPr="005D7FB4">
        <w:rPr>
          <w:rFonts w:eastAsia="TimesNewRomanPSMT"/>
          <w:sz w:val="28"/>
          <w:szCs w:val="28"/>
        </w:rPr>
        <w:t xml:space="preserve"> </w:t>
      </w:r>
      <w:r w:rsidRPr="005D7FB4">
        <w:rPr>
          <w:rFonts w:eastAsia="TimesNewRomanPSMT"/>
          <w:sz w:val="28"/>
          <w:szCs w:val="28"/>
        </w:rPr>
        <w:t>українсько-арабських зв'язків у найближчі роки,</w:t>
      </w:r>
      <w:r w:rsidR="00DD2E38" w:rsidRPr="005D7FB4">
        <w:rPr>
          <w:rFonts w:eastAsia="TimesNewRomanPSMT"/>
          <w:sz w:val="28"/>
          <w:szCs w:val="28"/>
        </w:rPr>
        <w:t xml:space="preserve"> </w:t>
      </w:r>
      <w:r w:rsidRPr="005D7FB4">
        <w:rPr>
          <w:rFonts w:eastAsia="TimesNewRomanPSMT"/>
          <w:sz w:val="28"/>
          <w:szCs w:val="28"/>
        </w:rPr>
        <w:t>про що свідчать об'єктивні дані поліпшення</w:t>
      </w:r>
      <w:r w:rsidR="00DD2E38" w:rsidRPr="005D7FB4">
        <w:rPr>
          <w:rFonts w:eastAsia="TimesNewRomanPSMT"/>
          <w:sz w:val="28"/>
          <w:szCs w:val="28"/>
        </w:rPr>
        <w:t xml:space="preserve"> </w:t>
      </w:r>
      <w:r w:rsidRPr="005D7FB4">
        <w:rPr>
          <w:rFonts w:eastAsia="TimesNewRomanPSMT"/>
          <w:sz w:val="28"/>
          <w:szCs w:val="28"/>
        </w:rPr>
        <w:t>інвестиційного клімату.</w:t>
      </w:r>
    </w:p>
    <w:p w:rsidR="00647EA5" w:rsidRPr="005D7FB4" w:rsidRDefault="009B55D9" w:rsidP="005D7FB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sz w:val="28"/>
          <w:szCs w:val="28"/>
        </w:rPr>
      </w:pPr>
      <w:r w:rsidRPr="005D7FB4">
        <w:rPr>
          <w:rFonts w:eastAsia="TimesNewRomanPSMT"/>
          <w:sz w:val="28"/>
          <w:szCs w:val="28"/>
        </w:rPr>
        <w:t>Серед суб’єктивних факторів слід виділити те, що в Україні сформувалася</w:t>
      </w:r>
      <w:r w:rsidR="006E0BE2" w:rsidRPr="005D7FB4">
        <w:rPr>
          <w:rFonts w:eastAsia="TimesNewRomanPSMT"/>
          <w:sz w:val="28"/>
          <w:szCs w:val="28"/>
        </w:rPr>
        <w:t xml:space="preserve"> </w:t>
      </w:r>
      <w:r w:rsidRPr="005D7FB4">
        <w:rPr>
          <w:rFonts w:eastAsia="TimesNewRomanPSMT"/>
          <w:sz w:val="28"/>
          <w:szCs w:val="28"/>
        </w:rPr>
        <w:t>значна арабська діаспора, достатньо дієздатний</w:t>
      </w:r>
      <w:r w:rsidR="006E0BE2" w:rsidRPr="005D7FB4">
        <w:rPr>
          <w:rFonts w:eastAsia="TimesNewRomanPSMT"/>
          <w:sz w:val="28"/>
          <w:szCs w:val="28"/>
        </w:rPr>
        <w:t xml:space="preserve"> </w:t>
      </w:r>
      <w:r w:rsidRPr="005D7FB4">
        <w:rPr>
          <w:rFonts w:eastAsia="TimesNewRomanPSMT"/>
          <w:sz w:val="28"/>
          <w:szCs w:val="28"/>
        </w:rPr>
        <w:t>і активний прошарок арабських бізнесменів,</w:t>
      </w:r>
      <w:r w:rsidR="006E0BE2" w:rsidRPr="005D7FB4">
        <w:rPr>
          <w:rFonts w:eastAsia="TimesNewRomanPSMT"/>
          <w:sz w:val="28"/>
          <w:szCs w:val="28"/>
        </w:rPr>
        <w:t xml:space="preserve"> </w:t>
      </w:r>
      <w:r w:rsidRPr="005D7FB4">
        <w:rPr>
          <w:rFonts w:eastAsia="TimesNewRomanPSMT"/>
          <w:sz w:val="28"/>
          <w:szCs w:val="28"/>
        </w:rPr>
        <w:t>можливості яких у розширенні ділових контактів</w:t>
      </w:r>
      <w:r w:rsidR="006E0BE2" w:rsidRPr="005D7FB4">
        <w:rPr>
          <w:rFonts w:eastAsia="TimesNewRomanPSMT"/>
          <w:sz w:val="28"/>
          <w:szCs w:val="28"/>
        </w:rPr>
        <w:t xml:space="preserve"> </w:t>
      </w:r>
      <w:r w:rsidRPr="005D7FB4">
        <w:rPr>
          <w:rFonts w:eastAsia="TimesNewRomanPSMT"/>
          <w:sz w:val="28"/>
          <w:szCs w:val="28"/>
        </w:rPr>
        <w:t>із Близьким Сходом можуть бути б</w:t>
      </w:r>
      <w:r w:rsidR="006E0BE2" w:rsidRPr="005D7FB4">
        <w:rPr>
          <w:rFonts w:eastAsia="TimesNewRomanPSMT"/>
          <w:sz w:val="28"/>
          <w:szCs w:val="28"/>
        </w:rPr>
        <w:t>агаторазо</w:t>
      </w:r>
      <w:r w:rsidRPr="005D7FB4">
        <w:rPr>
          <w:rFonts w:eastAsia="TimesNewRomanPSMT"/>
          <w:sz w:val="28"/>
          <w:szCs w:val="28"/>
        </w:rPr>
        <w:t>во збільшені, якщо близькосхідна</w:t>
      </w:r>
      <w:r w:rsidR="006E0BE2" w:rsidRPr="005D7FB4">
        <w:rPr>
          <w:rFonts w:eastAsia="TimesNewRomanPSMT"/>
          <w:sz w:val="28"/>
          <w:szCs w:val="28"/>
        </w:rPr>
        <w:t xml:space="preserve"> </w:t>
      </w:r>
      <w:r w:rsidRPr="005D7FB4">
        <w:rPr>
          <w:rFonts w:eastAsia="TimesNewRomanPSMT"/>
          <w:sz w:val="28"/>
          <w:szCs w:val="28"/>
        </w:rPr>
        <w:t>політика здоб</w:t>
      </w:r>
      <w:r w:rsidR="006E0BE2" w:rsidRPr="005D7FB4">
        <w:rPr>
          <w:rFonts w:eastAsia="TimesNewRomanPSMT"/>
          <w:sz w:val="28"/>
          <w:szCs w:val="28"/>
        </w:rPr>
        <w:t>уде більш планомірний і акценто</w:t>
      </w:r>
      <w:r w:rsidRPr="005D7FB4">
        <w:rPr>
          <w:rFonts w:eastAsia="TimesNewRomanPSMT"/>
          <w:sz w:val="28"/>
          <w:szCs w:val="28"/>
        </w:rPr>
        <w:t>ваний вигляд. Цей фактор може бути ефективно</w:t>
      </w:r>
      <w:r w:rsidR="006E0BE2" w:rsidRPr="005D7FB4">
        <w:rPr>
          <w:rFonts w:eastAsia="TimesNewRomanPSMT"/>
          <w:sz w:val="28"/>
          <w:szCs w:val="28"/>
        </w:rPr>
        <w:t xml:space="preserve"> </w:t>
      </w:r>
      <w:r w:rsidRPr="005D7FB4">
        <w:rPr>
          <w:rFonts w:eastAsia="TimesNewRomanPSMT"/>
          <w:sz w:val="28"/>
          <w:szCs w:val="28"/>
        </w:rPr>
        <w:t>використаний для забезпечення своїх інтересів</w:t>
      </w:r>
      <w:r w:rsidR="006E0BE2" w:rsidRPr="005D7FB4">
        <w:rPr>
          <w:rFonts w:eastAsia="TimesNewRomanPSMT"/>
          <w:sz w:val="28"/>
          <w:szCs w:val="28"/>
        </w:rPr>
        <w:t xml:space="preserve"> </w:t>
      </w:r>
      <w:r w:rsidRPr="005D7FB4">
        <w:rPr>
          <w:rFonts w:eastAsia="TimesNewRomanPSMT"/>
          <w:sz w:val="28"/>
          <w:szCs w:val="28"/>
        </w:rPr>
        <w:t xml:space="preserve">в арабському світі. </w:t>
      </w:r>
    </w:p>
    <w:p w:rsidR="00647EA5" w:rsidRPr="005D7FB4" w:rsidRDefault="00647EA5" w:rsidP="005D7FB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sz w:val="28"/>
          <w:szCs w:val="28"/>
        </w:rPr>
      </w:pPr>
      <w:r w:rsidRPr="005D7FB4">
        <w:rPr>
          <w:rFonts w:eastAsia="TimesNewRomanPSMT"/>
          <w:sz w:val="28"/>
          <w:szCs w:val="28"/>
        </w:rPr>
        <w:t>Цілком очевидною є потреба у створенні мережі інформаційних представництв України в арабських країнах, у реалізації усвідомленої стратегії інформаційного просування та забезпечення в цих країнах українських інтересів.</w:t>
      </w:r>
    </w:p>
    <w:p w:rsidR="007671FA" w:rsidRPr="005D7FB4" w:rsidRDefault="005D7FB4" w:rsidP="005D7FB4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="TimesNewRomanPSMT"/>
          <w:b/>
          <w:bCs/>
          <w:sz w:val="28"/>
          <w:szCs w:val="32"/>
        </w:rPr>
      </w:pPr>
      <w:r>
        <w:rPr>
          <w:rFonts w:eastAsia="TimesNewRomanPSMT"/>
          <w:sz w:val="28"/>
          <w:szCs w:val="28"/>
        </w:rPr>
        <w:br w:type="page"/>
      </w:r>
      <w:r w:rsidR="007671FA" w:rsidRPr="005D7FB4">
        <w:rPr>
          <w:rFonts w:eastAsia="TimesNewRomanPSMT"/>
          <w:b/>
          <w:bCs/>
          <w:sz w:val="28"/>
          <w:szCs w:val="32"/>
        </w:rPr>
        <w:t>Зовнішньоекономічні зв’язки України з Об’єднаними Арабськими Еміратами</w:t>
      </w:r>
    </w:p>
    <w:p w:rsidR="00496382" w:rsidRPr="005D7FB4" w:rsidRDefault="00496382" w:rsidP="005D7FB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A46EFE" w:rsidRPr="005D7FB4" w:rsidRDefault="00A46EFE" w:rsidP="005D7FB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5D7FB4">
        <w:rPr>
          <w:sz w:val="28"/>
          <w:szCs w:val="28"/>
          <w:lang w:val="uk-UA"/>
        </w:rPr>
        <w:t>Встановлення дипломатичних відносин між Україною та ОАЕ, що відбулося у жовтні 1992 року, та відкриття Посольства України в Абу-Дабі у жовтні 1993 року можна вважати початком практичної реалізації близькосхідного напряму зовнішньої політики України.</w:t>
      </w:r>
      <w:r w:rsidR="009A5AE0" w:rsidRPr="005D7FB4">
        <w:rPr>
          <w:sz w:val="28"/>
          <w:szCs w:val="28"/>
          <w:lang w:val="uk-UA"/>
        </w:rPr>
        <w:t> Економічним стимулом розбудови двосторонніх відносин між Україною та ОАЕ був пошук нових та альтернативних ринків для просування вітчизняної продукції (на початковому етапі це здебільшого стосувалося традиційних предметів українського експорту - металургійної та хімічної продукції).</w:t>
      </w:r>
    </w:p>
    <w:p w:rsidR="00A46EFE" w:rsidRPr="005D7FB4" w:rsidRDefault="00A46EFE" w:rsidP="005D7FB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5D7FB4">
        <w:rPr>
          <w:sz w:val="28"/>
          <w:szCs w:val="28"/>
          <w:lang w:val="uk-UA"/>
        </w:rPr>
        <w:t xml:space="preserve">16-17 квітня 1993 року відбувся візит в ОАЕ урядової української делегації на чолі з тодішнім Прем'єр-міністром України Л.Кучмою, під час якого були проведені переговори щодо налагодження двостороннього співробітництва між Україною та ОАЕ. </w:t>
      </w:r>
    </w:p>
    <w:p w:rsidR="00496382" w:rsidRPr="005D7FB4" w:rsidRDefault="00A46EFE" w:rsidP="005D7FB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5D7FB4">
        <w:rPr>
          <w:sz w:val="28"/>
          <w:szCs w:val="28"/>
          <w:lang w:val="uk-UA"/>
        </w:rPr>
        <w:t xml:space="preserve">21 жовтня 1993 року в ОАЕ прибула передова група Посольства на чолі з Тимчасовим Повіреним у справах України в ОАЕ О.Семенцем, а з 1 січня 1994 року почало діяти Посольство України в ОАЕ. </w:t>
      </w:r>
    </w:p>
    <w:p w:rsidR="004E5993" w:rsidRPr="005D7FB4" w:rsidRDefault="004E5993" w:rsidP="005D7FB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5D7FB4">
        <w:rPr>
          <w:sz w:val="28"/>
          <w:szCs w:val="28"/>
          <w:lang w:val="uk-UA"/>
        </w:rPr>
        <w:t>У 1995 році була укладена міжурядова угода про торговельно-економічне співробітництво, а в 1996 році було парафовано ще дві угоди в сфері економіки (про уникнення подвійного оподаткування та про взаємний захист інвестицій).</w:t>
      </w:r>
    </w:p>
    <w:p w:rsidR="00D83F2E" w:rsidRPr="005D7FB4" w:rsidRDefault="00D83F2E" w:rsidP="005D7FB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5D7FB4">
        <w:rPr>
          <w:sz w:val="28"/>
          <w:szCs w:val="28"/>
          <w:lang w:val="uk-UA"/>
        </w:rPr>
        <w:t xml:space="preserve">Основним засобом реалізації інтересів України в сфері економічного співробітництва було обрано "масоване вторгнення" на еміратський ринок шляхом участі українських експозицій у численних міжнародних виставкових заходах, що проводяться в ОАЕ на регулярній основі. Свого часу така тактика принесла відчутні позитивні результати, оскільки дозволила достатньою мірою репрезентувати можливості вітчизняної економіки та її готовність до розгортання широкомасштабного співробітництва з ОАЕ та іншими державами регіону, зокрема, у традиційних для України експортних галузях (металургія, хімія), продукція яких користується тут підвищеним попитом. </w:t>
      </w:r>
    </w:p>
    <w:p w:rsidR="00D83F2E" w:rsidRPr="005D7FB4" w:rsidRDefault="00D83F2E" w:rsidP="005D7FB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5D7FB4">
        <w:rPr>
          <w:sz w:val="28"/>
          <w:szCs w:val="28"/>
          <w:lang w:val="uk-UA"/>
        </w:rPr>
        <w:t>Беручи до уваги той факт, що ОАЕ є місцем проведення всесвітньо відомих міжнародних військових виставок, Україна, починаючи з 1995 року, є постійним та одним з найпомітніших їх учасників.</w:t>
      </w:r>
    </w:p>
    <w:p w:rsidR="00545D66" w:rsidRPr="005D7FB4" w:rsidRDefault="00545D66" w:rsidP="005D7FB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5D7FB4">
        <w:rPr>
          <w:sz w:val="28"/>
          <w:szCs w:val="28"/>
          <w:lang w:val="uk-UA"/>
        </w:rPr>
        <w:t>На виконання відповідних доручень Прем'єр-міністра України щодо реалізації основних положень Послання Президента України "Україна: поступ у XXI століття" у 2001 році (у квітні та листопаді 2001 року) було організовано і проведено два Міжнародних форуми "Україна - ОАЕ: бізнес, інвестиції, приватизація".</w:t>
      </w:r>
    </w:p>
    <w:p w:rsidR="004E5993" w:rsidRPr="005D7FB4" w:rsidRDefault="004E5993" w:rsidP="005D7FB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5D7FB4">
        <w:rPr>
          <w:sz w:val="28"/>
          <w:szCs w:val="28"/>
          <w:lang w:val="uk-UA"/>
        </w:rPr>
        <w:t>У січні 2002 року відбувся офіційний візит Міністра закордонних справ України А.М.Зленка до ОАЕ, в ході якого було досягнуто домовленостей щодо подальшого розвитку двостороннього співробітництва.</w:t>
      </w:r>
    </w:p>
    <w:p w:rsidR="00496382" w:rsidRPr="005D7FB4" w:rsidRDefault="009C7E9D" w:rsidP="005D7FB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5D7FB4">
        <w:rPr>
          <w:sz w:val="28"/>
          <w:szCs w:val="28"/>
          <w:lang w:val="uk-UA"/>
        </w:rPr>
        <w:t>Надзвичайним та Повноважним Послом України в ОАЕ з липня 2007 року є С.О.Пасько.</w:t>
      </w:r>
    </w:p>
    <w:p w:rsidR="008B317A" w:rsidRPr="005D7FB4" w:rsidRDefault="009C7E9D" w:rsidP="005D7FB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5D7FB4">
        <w:rPr>
          <w:sz w:val="28"/>
          <w:szCs w:val="28"/>
          <w:lang w:val="uk-UA"/>
        </w:rPr>
        <w:t xml:space="preserve">Широкі можливості перед українсько-еміратським співробітництвом відкрив візит Президента України Л.Д.Кучми до ОАЕ, що відбувся наприкінці січня 2003 року. Сторони домовилися про необхідність активізації двосторонніх економічних  відносин, насамперед, шляхом реалізації спільних інвестиційних проектів. </w:t>
      </w:r>
    </w:p>
    <w:p w:rsidR="008B317A" w:rsidRPr="005D7FB4" w:rsidRDefault="008B317A" w:rsidP="005D7FB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5D7FB4">
        <w:rPr>
          <w:sz w:val="28"/>
          <w:szCs w:val="28"/>
          <w:lang w:val="uk-UA"/>
        </w:rPr>
        <w:t>18 травня 2004 у м.Абу Дабі (ОАЕ) відбувся організований Посольством України в ОАЕ українсько-еміратський семінар, присвячений питанням розвитку співробітництва між Україною та ОАЕ в банківській та інших сферах. В його роботі взяли участь представники провідних фінансових інституцій двох держав, зокрема Державного експортно-імпортного банку України, Центрального банку ОАЕ, Національного банку та Інвестиційного фонду Абу Дабі, а також промислових і торговельних компаній.</w:t>
      </w:r>
    </w:p>
    <w:p w:rsidR="008B317A" w:rsidRPr="005D7FB4" w:rsidRDefault="008B317A" w:rsidP="005D7FB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5D7FB4">
        <w:rPr>
          <w:sz w:val="28"/>
          <w:szCs w:val="28"/>
          <w:lang w:val="uk-UA"/>
        </w:rPr>
        <w:t>Учасники семінару обговорили конкретні напрями та форми двостороннього співробітництва, можливості участі еміратського капіталу в реалізації деяких інвестиційних проектів в Україні, а також надання банківської підтримки двостороннім торговельно-економічним операціям.</w:t>
      </w:r>
    </w:p>
    <w:p w:rsidR="009B414E" w:rsidRPr="005D7FB4" w:rsidRDefault="009B414E" w:rsidP="005D7FB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5D7FB4">
        <w:rPr>
          <w:sz w:val="28"/>
          <w:szCs w:val="28"/>
          <w:lang w:val="uk-UA"/>
        </w:rPr>
        <w:t>6 листопада 2006 року українська урядова делегація на чолі з Міністром транспорту та зв’язку України Миколою Рудьковським відвідала Об’єднані Арабські Емірати (ОАЕ) і провела низку зустрічей з керівниками міністерств та відомств країни.</w:t>
      </w:r>
    </w:p>
    <w:p w:rsidR="009B414E" w:rsidRPr="005D7FB4" w:rsidRDefault="009B414E" w:rsidP="005D7FB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5D7FB4">
        <w:rPr>
          <w:sz w:val="28"/>
          <w:szCs w:val="28"/>
          <w:lang w:val="uk-UA"/>
        </w:rPr>
        <w:t>Зокрема, відбулись переговори Миколи Рудьковського з Міністром економіки ОАЕ Любною Аль-Касімі та заступником Міністра фінансів та промисловості ОАЕ і Головою Ради директорів Арабського банку ОАЕ, у ході було зосереджено увагу на перспективних проектах з розвитку транспортної інфраструктури України, модернізації її повітряних і морських портів, залізниці, залучення інвестицій ОАЕ у телекомунікаційну сферу тощо.</w:t>
      </w:r>
    </w:p>
    <w:p w:rsidR="00F43E9A" w:rsidRPr="005D7FB4" w:rsidRDefault="00F43E9A" w:rsidP="005D7FB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5D7FB4">
        <w:rPr>
          <w:sz w:val="28"/>
          <w:szCs w:val="28"/>
          <w:lang w:val="uk-UA"/>
        </w:rPr>
        <w:t>16 листопада 2006 року у рамках візиту до Об’єднаних Арабських Еміратів української делегації на чолі з Головою Сумської обласної державної адміністрації Ніною Гаркавою в Еміраті Фуджейра (ОАЕ) відбулась її зустріч та переговори з Президентом і Генеральним директором Торговельно-промислової палати (ТПП).</w:t>
      </w:r>
    </w:p>
    <w:p w:rsidR="00F43E9A" w:rsidRPr="005D7FB4" w:rsidRDefault="00F43E9A" w:rsidP="005D7FB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5D7FB4">
        <w:rPr>
          <w:sz w:val="28"/>
          <w:szCs w:val="28"/>
          <w:lang w:val="uk-UA"/>
        </w:rPr>
        <w:t>У ході зустрічі наголошувалось на необхідності активізації ділових контактів, як на регіональному, так і на міждержавному рівнях. Зі свого боку, керівництво ТПП Емірату Фуджейра висловило готовність розглянути найбільш перспективні інвестиційні проекти на території України та, зокрема Сумської області, з метою вивчення можливостей щодо залучення еміратських інвестицій в економіку України.</w:t>
      </w:r>
    </w:p>
    <w:p w:rsidR="00496382" w:rsidRPr="005D7FB4" w:rsidRDefault="009C7E9D" w:rsidP="005D7FB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5D7FB4">
        <w:rPr>
          <w:sz w:val="28"/>
          <w:szCs w:val="28"/>
          <w:lang w:val="uk-UA"/>
        </w:rPr>
        <w:t>У липні 2007р. вперше в історії двосторонніх відносин відбувся візит до Києва еміратської урядової делегації на чолі із в.о. Першого заступника Міністра закордонних справ ОАЕ Т.Аль Гейданом. У ході візиту організовано зустріч з Першим віце-прем’єр-міністром, Міністром фінансів України М.Я.Азаровим, Міністром закордонних справ України А.П.Яценюком, відбулись переговори у низці українських міністерств та відомств, проведено політичні консультації між МЗС двох держав.</w:t>
      </w:r>
    </w:p>
    <w:p w:rsidR="00545D66" w:rsidRPr="005D7FB4" w:rsidRDefault="009C7E9D" w:rsidP="005D7FB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5D7FB4">
        <w:rPr>
          <w:sz w:val="28"/>
          <w:szCs w:val="28"/>
          <w:lang w:val="uk-UA"/>
        </w:rPr>
        <w:t>Досить плідним є співробітництво між Україною та ОАЕ і на міжнародній арені. Держави активно взаємодіють у рамках міжнародних організацій, здійснюють взаємний обмін підтримками на виборах до міжнародних органів та інституцій.</w:t>
      </w:r>
    </w:p>
    <w:p w:rsidR="00621D48" w:rsidRPr="005D7FB4" w:rsidRDefault="00545D66" w:rsidP="005D7FB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5D7FB4">
        <w:rPr>
          <w:sz w:val="28"/>
          <w:szCs w:val="28"/>
          <w:lang w:val="uk-UA"/>
        </w:rPr>
        <w:t> Розбудова двосторонніх торговельно-економічних відносин на сучасному етапі зосереджена на роз'ясненні на офіційному та індивідуальному рівнях можливостей і умов ведення справ у двох країнах, індивідуальній роботі з окремими підприємцями, організації торговельно-промислових виставок, забезпеченні участі українського ВПК у виставках військової техніки "Айдекс" та "Трайдекс".</w:t>
      </w:r>
    </w:p>
    <w:p w:rsidR="00621D48" w:rsidRPr="005D7FB4" w:rsidRDefault="00621D48" w:rsidP="005D7FB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5D7FB4">
        <w:rPr>
          <w:sz w:val="28"/>
          <w:szCs w:val="28"/>
          <w:lang w:val="uk-UA"/>
        </w:rPr>
        <w:t>На сьогодні між Україною та ОАЕ укладено 3 міжурядові Угоди: про економічне, торговельне та технічне співробітництво (березень 1995 р.); про сприяння та взаємний захист інвестицій (січень 2003 р.); про уникнення подвійного оподаткування (січень 2003 р.) та низка документів міжвідомчого характеру.</w:t>
      </w:r>
    </w:p>
    <w:p w:rsidR="00E852AC" w:rsidRPr="005D7FB4" w:rsidRDefault="00E852AC" w:rsidP="005D7FB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5D7FB4">
        <w:rPr>
          <w:sz w:val="28"/>
          <w:szCs w:val="28"/>
          <w:lang w:val="uk-UA"/>
        </w:rPr>
        <w:t xml:space="preserve">Аналіз нинішнього стану двосторонніх економічних відносин свідчить про реальні можливості їх активізації за рахунок збільшення товарообігу по вже існуючих напрямках співпраці (продукція металургійної та хімічної промисловості), а також використовуючи нереалізовані до цього часу резерви, насамперед потенціал України у галузі машинобудування (авіаційна, суднобудівна промисловість), у сфері високих технологій, агропромислового комплексу тощо. </w:t>
      </w:r>
    </w:p>
    <w:p w:rsidR="00E852AC" w:rsidRPr="005D7FB4" w:rsidRDefault="00E852AC" w:rsidP="005D7FB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5D7FB4">
        <w:rPr>
          <w:sz w:val="28"/>
          <w:szCs w:val="28"/>
          <w:lang w:val="uk-UA"/>
        </w:rPr>
        <w:t>Додаткового імпульсу цій роботі може надати започаткування діяльності двосторонньої міжурядової комісії, створення якої передбачене укладеною угодою про торговельно-економічне співробітництво.  </w:t>
      </w:r>
    </w:p>
    <w:p w:rsidR="00E852AC" w:rsidRPr="005D7FB4" w:rsidRDefault="00E852AC" w:rsidP="005D7FB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5D7FB4">
        <w:rPr>
          <w:sz w:val="28"/>
          <w:szCs w:val="28"/>
          <w:lang w:val="uk-UA"/>
        </w:rPr>
        <w:t>У структурі товарного експорту України в ОАЕ основну частину (в середньому близько 80-85 % від загального обсягу) складають чорні метали та вироби з них (такі як, прокат плоский із заліза або нелегованої сталі, напівфабрикати із заліза або нелегованої сталі, прутки та бруски гарячекатані, а також кутки, фасонні та спеціальні профілі із заліза або нелегованої сталі). Водночас, поступово відбувається покращення структури експорту товарів з України до ОАЕ, поява на місцевому ринку високотехнологічної продукції української промисловості: комплектуючих для авіаційної техніки, збільшення експорту устаткування та механізмів. </w:t>
      </w:r>
    </w:p>
    <w:p w:rsidR="00E852AC" w:rsidRPr="005D7FB4" w:rsidRDefault="00E852AC" w:rsidP="005D7FB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5D7FB4">
        <w:rPr>
          <w:sz w:val="28"/>
          <w:szCs w:val="28"/>
          <w:lang w:val="uk-UA"/>
        </w:rPr>
        <w:t>В імпорті з ОАЕ в Україну переважну частину складають засоби наземного транспорту, устаткування та механізми, текстиль та текстильні вироби, фініки, лікарські засоби, парфуми, чай та соки.</w:t>
      </w:r>
    </w:p>
    <w:p w:rsidR="009C7E9D" w:rsidRPr="005D7FB4" w:rsidRDefault="009C7E9D" w:rsidP="005D7FB4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lang w:val="uk-UA"/>
        </w:rPr>
      </w:pPr>
      <w:r w:rsidRPr="005D7FB4">
        <w:rPr>
          <w:bCs/>
          <w:sz w:val="28"/>
          <w:szCs w:val="28"/>
          <w:lang w:val="uk-UA"/>
        </w:rPr>
        <w:t>Показники зовнішньої торгівлі товарами між Україною та ОАЕ за даними Держкомстату України/ Міністерства економіки та планування ОАЕ,</w:t>
      </w:r>
      <w:r w:rsidRPr="005D7FB4">
        <w:rPr>
          <w:sz w:val="28"/>
          <w:szCs w:val="28"/>
          <w:lang w:val="uk-UA"/>
        </w:rPr>
        <w:t> </w:t>
      </w:r>
      <w:r w:rsidRPr="005D7FB4">
        <w:rPr>
          <w:bCs/>
          <w:sz w:val="28"/>
          <w:szCs w:val="28"/>
          <w:lang w:val="uk-UA"/>
        </w:rPr>
        <w:t>млн. дол. США</w:t>
      </w:r>
    </w:p>
    <w:p w:rsidR="00ED42F6" w:rsidRPr="005D7FB4" w:rsidRDefault="00ED42F6" w:rsidP="005D7FB4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lang w:val="uk-UA"/>
        </w:rPr>
      </w:pPr>
    </w:p>
    <w:tbl>
      <w:tblPr>
        <w:tblW w:w="9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9"/>
        <w:gridCol w:w="992"/>
        <w:gridCol w:w="539"/>
        <w:gridCol w:w="787"/>
        <w:gridCol w:w="718"/>
        <w:gridCol w:w="787"/>
        <w:gridCol w:w="909"/>
        <w:gridCol w:w="929"/>
        <w:gridCol w:w="679"/>
        <w:gridCol w:w="679"/>
        <w:gridCol w:w="784"/>
        <w:gridCol w:w="539"/>
      </w:tblGrid>
      <w:tr w:rsidR="00DB259F" w:rsidRPr="0036071F" w:rsidTr="0036071F">
        <w:trPr>
          <w:jc w:val="center"/>
        </w:trPr>
        <w:tc>
          <w:tcPr>
            <w:tcW w:w="1615" w:type="dxa"/>
            <w:shd w:val="clear" w:color="auto" w:fill="auto"/>
          </w:tcPr>
          <w:p w:rsidR="00DB259F" w:rsidRPr="0036071F" w:rsidRDefault="00DB259F" w:rsidP="0036071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36071F">
              <w:rPr>
                <w:sz w:val="20"/>
                <w:szCs w:val="20"/>
                <w:lang w:val="uk-UA"/>
              </w:rPr>
              <w:t>Показники</w:t>
            </w:r>
          </w:p>
        </w:tc>
        <w:tc>
          <w:tcPr>
            <w:tcW w:w="998" w:type="dxa"/>
            <w:shd w:val="clear" w:color="auto" w:fill="auto"/>
          </w:tcPr>
          <w:p w:rsidR="00DB259F" w:rsidRPr="0036071F" w:rsidRDefault="00DB259F" w:rsidP="0036071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36071F">
              <w:rPr>
                <w:bCs/>
                <w:sz w:val="20"/>
                <w:szCs w:val="20"/>
                <w:lang w:val="uk-UA"/>
              </w:rPr>
              <w:t>2003</w:t>
            </w:r>
          </w:p>
        </w:tc>
        <w:tc>
          <w:tcPr>
            <w:tcW w:w="547" w:type="dxa"/>
            <w:shd w:val="clear" w:color="auto" w:fill="auto"/>
          </w:tcPr>
          <w:p w:rsidR="00DB259F" w:rsidRPr="0036071F" w:rsidRDefault="00DB259F" w:rsidP="0036071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36071F">
              <w:rPr>
                <w:bCs/>
                <w:sz w:val="20"/>
                <w:szCs w:val="20"/>
                <w:lang w:val="uk-UA"/>
              </w:rPr>
              <w:t>+/-, %</w:t>
            </w:r>
          </w:p>
        </w:tc>
        <w:tc>
          <w:tcPr>
            <w:tcW w:w="788" w:type="dxa"/>
            <w:shd w:val="clear" w:color="auto" w:fill="auto"/>
          </w:tcPr>
          <w:p w:rsidR="00DB259F" w:rsidRPr="0036071F" w:rsidRDefault="00DB259F" w:rsidP="0036071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36071F">
              <w:rPr>
                <w:bCs/>
                <w:sz w:val="20"/>
                <w:szCs w:val="20"/>
                <w:lang w:val="uk-UA"/>
              </w:rPr>
              <w:t>2004</w:t>
            </w:r>
          </w:p>
        </w:tc>
        <w:tc>
          <w:tcPr>
            <w:tcW w:w="703" w:type="dxa"/>
            <w:shd w:val="clear" w:color="auto" w:fill="auto"/>
          </w:tcPr>
          <w:p w:rsidR="00DB259F" w:rsidRPr="0036071F" w:rsidRDefault="00DB259F" w:rsidP="0036071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36071F">
              <w:rPr>
                <w:bCs/>
                <w:sz w:val="20"/>
                <w:szCs w:val="20"/>
                <w:lang w:val="uk-UA"/>
              </w:rPr>
              <w:t>+/-, %</w:t>
            </w:r>
          </w:p>
        </w:tc>
        <w:tc>
          <w:tcPr>
            <w:tcW w:w="788" w:type="dxa"/>
            <w:shd w:val="clear" w:color="auto" w:fill="auto"/>
          </w:tcPr>
          <w:p w:rsidR="00DB259F" w:rsidRPr="0036071F" w:rsidRDefault="00DB259F" w:rsidP="0036071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36071F">
              <w:rPr>
                <w:bCs/>
                <w:sz w:val="20"/>
                <w:szCs w:val="20"/>
                <w:lang w:val="uk-UA"/>
              </w:rPr>
              <w:t>2005</w:t>
            </w:r>
          </w:p>
        </w:tc>
        <w:tc>
          <w:tcPr>
            <w:tcW w:w="913" w:type="dxa"/>
            <w:shd w:val="clear" w:color="auto" w:fill="auto"/>
          </w:tcPr>
          <w:p w:rsidR="00DB259F" w:rsidRPr="0036071F" w:rsidRDefault="00DB259F" w:rsidP="0036071F">
            <w:pPr>
              <w:pStyle w:val="a3"/>
              <w:spacing w:before="0" w:beforeAutospacing="0" w:after="0" w:afterAutospacing="0" w:line="360" w:lineRule="auto"/>
              <w:jc w:val="both"/>
              <w:rPr>
                <w:bCs/>
                <w:sz w:val="20"/>
                <w:szCs w:val="20"/>
                <w:lang w:val="uk-UA"/>
              </w:rPr>
            </w:pPr>
            <w:r w:rsidRPr="0036071F">
              <w:rPr>
                <w:bCs/>
                <w:sz w:val="20"/>
                <w:szCs w:val="20"/>
                <w:lang w:val="uk-UA"/>
              </w:rPr>
              <w:t>+/-, %</w:t>
            </w:r>
          </w:p>
        </w:tc>
        <w:tc>
          <w:tcPr>
            <w:tcW w:w="1590" w:type="dxa"/>
            <w:gridSpan w:val="2"/>
            <w:shd w:val="clear" w:color="auto" w:fill="auto"/>
          </w:tcPr>
          <w:p w:rsidR="00DB259F" w:rsidRPr="0036071F" w:rsidRDefault="00DB259F" w:rsidP="0036071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36071F">
              <w:rPr>
                <w:bCs/>
                <w:sz w:val="20"/>
                <w:szCs w:val="20"/>
                <w:lang w:val="uk-UA"/>
              </w:rPr>
              <w:t>2006</w:t>
            </w:r>
          </w:p>
        </w:tc>
        <w:tc>
          <w:tcPr>
            <w:tcW w:w="648" w:type="dxa"/>
            <w:shd w:val="clear" w:color="auto" w:fill="auto"/>
          </w:tcPr>
          <w:p w:rsidR="00DB259F" w:rsidRPr="0036071F" w:rsidRDefault="00DB259F" w:rsidP="0036071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36071F">
              <w:rPr>
                <w:bCs/>
                <w:sz w:val="20"/>
                <w:szCs w:val="20"/>
                <w:lang w:val="uk-UA"/>
              </w:rPr>
              <w:t>+/-, %</w:t>
            </w:r>
          </w:p>
        </w:tc>
        <w:tc>
          <w:tcPr>
            <w:tcW w:w="784" w:type="dxa"/>
            <w:shd w:val="clear" w:color="auto" w:fill="auto"/>
          </w:tcPr>
          <w:p w:rsidR="00DB259F" w:rsidRPr="0036071F" w:rsidRDefault="00DB259F" w:rsidP="0036071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36071F">
              <w:rPr>
                <w:bCs/>
                <w:sz w:val="20"/>
                <w:szCs w:val="20"/>
                <w:lang w:val="uk-UA"/>
              </w:rPr>
              <w:t>01-09.</w:t>
            </w:r>
          </w:p>
          <w:p w:rsidR="00DB259F" w:rsidRPr="0036071F" w:rsidRDefault="00DB259F" w:rsidP="0036071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36071F">
              <w:rPr>
                <w:bCs/>
                <w:sz w:val="20"/>
                <w:szCs w:val="20"/>
                <w:lang w:val="uk-UA"/>
              </w:rPr>
              <w:t>2007</w:t>
            </w:r>
          </w:p>
        </w:tc>
        <w:tc>
          <w:tcPr>
            <w:tcW w:w="547" w:type="dxa"/>
            <w:shd w:val="clear" w:color="auto" w:fill="auto"/>
          </w:tcPr>
          <w:p w:rsidR="00DB259F" w:rsidRPr="0036071F" w:rsidRDefault="00DB259F" w:rsidP="0036071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36071F">
              <w:rPr>
                <w:bCs/>
                <w:sz w:val="20"/>
                <w:szCs w:val="20"/>
                <w:lang w:val="uk-UA"/>
              </w:rPr>
              <w:t>+/-, %</w:t>
            </w:r>
          </w:p>
        </w:tc>
      </w:tr>
      <w:tr w:rsidR="00DB259F" w:rsidRPr="0036071F" w:rsidTr="0036071F">
        <w:trPr>
          <w:jc w:val="center"/>
        </w:trPr>
        <w:tc>
          <w:tcPr>
            <w:tcW w:w="1615" w:type="dxa"/>
            <w:shd w:val="clear" w:color="auto" w:fill="auto"/>
          </w:tcPr>
          <w:p w:rsidR="00DB259F" w:rsidRPr="0036071F" w:rsidRDefault="00DB259F" w:rsidP="0036071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36071F">
              <w:rPr>
                <w:bCs/>
                <w:sz w:val="20"/>
                <w:szCs w:val="20"/>
                <w:lang w:val="uk-UA"/>
              </w:rPr>
              <w:t>Товарообіг</w:t>
            </w:r>
          </w:p>
        </w:tc>
        <w:tc>
          <w:tcPr>
            <w:tcW w:w="998" w:type="dxa"/>
            <w:shd w:val="clear" w:color="auto" w:fill="auto"/>
          </w:tcPr>
          <w:p w:rsidR="00DB259F" w:rsidRPr="0036071F" w:rsidRDefault="00DB259F" w:rsidP="0036071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36071F">
              <w:rPr>
                <w:sz w:val="20"/>
                <w:szCs w:val="20"/>
                <w:lang w:val="uk-UA"/>
              </w:rPr>
              <w:t>141,9</w:t>
            </w:r>
          </w:p>
        </w:tc>
        <w:tc>
          <w:tcPr>
            <w:tcW w:w="547" w:type="dxa"/>
            <w:shd w:val="clear" w:color="auto" w:fill="auto"/>
          </w:tcPr>
          <w:p w:rsidR="00DB259F" w:rsidRPr="0036071F" w:rsidRDefault="00DB259F" w:rsidP="0036071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788" w:type="dxa"/>
            <w:shd w:val="clear" w:color="auto" w:fill="auto"/>
          </w:tcPr>
          <w:p w:rsidR="00DB259F" w:rsidRPr="0036071F" w:rsidRDefault="00DB259F" w:rsidP="0036071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36071F">
              <w:rPr>
                <w:sz w:val="20"/>
                <w:szCs w:val="20"/>
                <w:lang w:val="uk-UA"/>
              </w:rPr>
              <w:t>429,4</w:t>
            </w:r>
          </w:p>
        </w:tc>
        <w:tc>
          <w:tcPr>
            <w:tcW w:w="703" w:type="dxa"/>
            <w:shd w:val="clear" w:color="auto" w:fill="auto"/>
          </w:tcPr>
          <w:p w:rsidR="00DB259F" w:rsidRPr="0036071F" w:rsidRDefault="00DB259F" w:rsidP="0036071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36071F">
              <w:rPr>
                <w:sz w:val="20"/>
                <w:szCs w:val="20"/>
                <w:lang w:val="uk-UA"/>
              </w:rPr>
              <w:t>+77</w:t>
            </w:r>
          </w:p>
        </w:tc>
        <w:tc>
          <w:tcPr>
            <w:tcW w:w="788" w:type="dxa"/>
            <w:shd w:val="clear" w:color="auto" w:fill="auto"/>
          </w:tcPr>
          <w:p w:rsidR="00DB259F" w:rsidRPr="0036071F" w:rsidRDefault="00DB259F" w:rsidP="0036071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36071F">
              <w:rPr>
                <w:sz w:val="20"/>
                <w:szCs w:val="20"/>
                <w:lang w:val="uk-UA"/>
              </w:rPr>
              <w:t>356,0</w:t>
            </w:r>
          </w:p>
        </w:tc>
        <w:tc>
          <w:tcPr>
            <w:tcW w:w="913" w:type="dxa"/>
            <w:shd w:val="clear" w:color="auto" w:fill="auto"/>
          </w:tcPr>
          <w:p w:rsidR="00DB259F" w:rsidRPr="0036071F" w:rsidRDefault="00DB259F" w:rsidP="0036071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36071F">
              <w:rPr>
                <w:sz w:val="20"/>
                <w:szCs w:val="20"/>
                <w:lang w:val="uk-UA"/>
              </w:rPr>
              <w:t>+34</w:t>
            </w:r>
          </w:p>
        </w:tc>
        <w:tc>
          <w:tcPr>
            <w:tcW w:w="942" w:type="dxa"/>
            <w:shd w:val="clear" w:color="auto" w:fill="auto"/>
          </w:tcPr>
          <w:p w:rsidR="00DB259F" w:rsidRPr="0036071F" w:rsidRDefault="00DB259F" w:rsidP="0036071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36071F">
              <w:rPr>
                <w:sz w:val="20"/>
                <w:szCs w:val="20"/>
                <w:lang w:val="uk-UA"/>
              </w:rPr>
              <w:t>413,4</w:t>
            </w:r>
          </w:p>
        </w:tc>
        <w:tc>
          <w:tcPr>
            <w:tcW w:w="648" w:type="dxa"/>
            <w:shd w:val="clear" w:color="auto" w:fill="auto"/>
          </w:tcPr>
          <w:p w:rsidR="00DB259F" w:rsidRPr="0036071F" w:rsidRDefault="00DB259F" w:rsidP="0036071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36071F">
              <w:rPr>
                <w:sz w:val="20"/>
                <w:szCs w:val="20"/>
                <w:lang w:val="uk-UA"/>
              </w:rPr>
              <w:t>859,6</w:t>
            </w:r>
          </w:p>
        </w:tc>
        <w:tc>
          <w:tcPr>
            <w:tcW w:w="648" w:type="dxa"/>
            <w:shd w:val="clear" w:color="auto" w:fill="auto"/>
          </w:tcPr>
          <w:p w:rsidR="00DB259F" w:rsidRPr="0036071F" w:rsidRDefault="00DB259F" w:rsidP="0036071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36071F">
              <w:rPr>
                <w:sz w:val="20"/>
                <w:szCs w:val="20"/>
                <w:lang w:val="uk-UA"/>
              </w:rPr>
              <w:t>+4</w:t>
            </w:r>
          </w:p>
        </w:tc>
        <w:tc>
          <w:tcPr>
            <w:tcW w:w="784" w:type="dxa"/>
            <w:shd w:val="clear" w:color="auto" w:fill="auto"/>
          </w:tcPr>
          <w:p w:rsidR="00DB259F" w:rsidRPr="0036071F" w:rsidRDefault="00DB259F" w:rsidP="0036071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36071F">
              <w:rPr>
                <w:sz w:val="20"/>
                <w:szCs w:val="20"/>
                <w:lang w:val="uk-UA"/>
              </w:rPr>
              <w:t>422,0</w:t>
            </w:r>
          </w:p>
        </w:tc>
        <w:tc>
          <w:tcPr>
            <w:tcW w:w="547" w:type="dxa"/>
            <w:shd w:val="clear" w:color="auto" w:fill="auto"/>
          </w:tcPr>
          <w:p w:rsidR="00DB259F" w:rsidRPr="0036071F" w:rsidRDefault="00DB259F" w:rsidP="0036071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DB259F" w:rsidRPr="0036071F" w:rsidTr="0036071F">
        <w:trPr>
          <w:jc w:val="center"/>
        </w:trPr>
        <w:tc>
          <w:tcPr>
            <w:tcW w:w="1615" w:type="dxa"/>
            <w:shd w:val="clear" w:color="auto" w:fill="auto"/>
          </w:tcPr>
          <w:p w:rsidR="00DB259F" w:rsidRPr="0036071F" w:rsidRDefault="00DB259F" w:rsidP="0036071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36071F">
              <w:rPr>
                <w:bCs/>
                <w:sz w:val="20"/>
                <w:szCs w:val="20"/>
                <w:lang w:val="uk-UA"/>
              </w:rPr>
              <w:t>Експорт</w:t>
            </w:r>
          </w:p>
        </w:tc>
        <w:tc>
          <w:tcPr>
            <w:tcW w:w="998" w:type="dxa"/>
            <w:shd w:val="clear" w:color="auto" w:fill="auto"/>
          </w:tcPr>
          <w:p w:rsidR="00DB259F" w:rsidRPr="0036071F" w:rsidRDefault="00DB259F" w:rsidP="0036071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36071F">
              <w:rPr>
                <w:sz w:val="20"/>
                <w:szCs w:val="20"/>
                <w:lang w:val="uk-UA"/>
              </w:rPr>
              <w:t>137,1</w:t>
            </w:r>
          </w:p>
        </w:tc>
        <w:tc>
          <w:tcPr>
            <w:tcW w:w="547" w:type="dxa"/>
            <w:shd w:val="clear" w:color="auto" w:fill="auto"/>
          </w:tcPr>
          <w:p w:rsidR="00DB259F" w:rsidRPr="0036071F" w:rsidRDefault="00DB259F" w:rsidP="0036071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788" w:type="dxa"/>
            <w:shd w:val="clear" w:color="auto" w:fill="auto"/>
          </w:tcPr>
          <w:p w:rsidR="00DB259F" w:rsidRPr="0036071F" w:rsidRDefault="00DB259F" w:rsidP="0036071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36071F">
              <w:rPr>
                <w:sz w:val="20"/>
                <w:szCs w:val="20"/>
                <w:lang w:val="uk-UA"/>
              </w:rPr>
              <w:t>425,1</w:t>
            </w:r>
          </w:p>
        </w:tc>
        <w:tc>
          <w:tcPr>
            <w:tcW w:w="703" w:type="dxa"/>
            <w:shd w:val="clear" w:color="auto" w:fill="auto"/>
          </w:tcPr>
          <w:p w:rsidR="00DB259F" w:rsidRPr="0036071F" w:rsidRDefault="00DB259F" w:rsidP="0036071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36071F">
              <w:rPr>
                <w:sz w:val="20"/>
                <w:szCs w:val="20"/>
                <w:lang w:val="uk-UA"/>
              </w:rPr>
              <w:t>-0,3</w:t>
            </w:r>
          </w:p>
        </w:tc>
        <w:tc>
          <w:tcPr>
            <w:tcW w:w="788" w:type="dxa"/>
            <w:shd w:val="clear" w:color="auto" w:fill="auto"/>
          </w:tcPr>
          <w:p w:rsidR="00DB259F" w:rsidRPr="0036071F" w:rsidRDefault="00DB259F" w:rsidP="0036071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36071F">
              <w:rPr>
                <w:sz w:val="20"/>
                <w:szCs w:val="20"/>
                <w:lang w:val="uk-UA"/>
              </w:rPr>
              <w:t>345,7</w:t>
            </w:r>
          </w:p>
        </w:tc>
        <w:tc>
          <w:tcPr>
            <w:tcW w:w="913" w:type="dxa"/>
            <w:shd w:val="clear" w:color="auto" w:fill="auto"/>
          </w:tcPr>
          <w:p w:rsidR="00DB259F" w:rsidRPr="0036071F" w:rsidRDefault="00DB259F" w:rsidP="0036071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36071F">
              <w:rPr>
                <w:sz w:val="20"/>
                <w:szCs w:val="20"/>
                <w:lang w:val="uk-UA"/>
              </w:rPr>
              <w:t>+25,5</w:t>
            </w:r>
          </w:p>
        </w:tc>
        <w:tc>
          <w:tcPr>
            <w:tcW w:w="942" w:type="dxa"/>
            <w:shd w:val="clear" w:color="auto" w:fill="auto"/>
          </w:tcPr>
          <w:p w:rsidR="00DB259F" w:rsidRPr="0036071F" w:rsidRDefault="00DB259F" w:rsidP="0036071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36071F">
              <w:rPr>
                <w:sz w:val="20"/>
                <w:szCs w:val="20"/>
                <w:lang w:val="uk-UA"/>
              </w:rPr>
              <w:t>392,6</w:t>
            </w:r>
          </w:p>
        </w:tc>
        <w:tc>
          <w:tcPr>
            <w:tcW w:w="648" w:type="dxa"/>
            <w:shd w:val="clear" w:color="auto" w:fill="auto"/>
          </w:tcPr>
          <w:p w:rsidR="00DB259F" w:rsidRPr="0036071F" w:rsidRDefault="00DB259F" w:rsidP="0036071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36071F">
              <w:rPr>
                <w:sz w:val="20"/>
                <w:szCs w:val="20"/>
                <w:lang w:val="uk-UA"/>
              </w:rPr>
              <w:t>478,8</w:t>
            </w:r>
          </w:p>
        </w:tc>
        <w:tc>
          <w:tcPr>
            <w:tcW w:w="648" w:type="dxa"/>
            <w:shd w:val="clear" w:color="auto" w:fill="auto"/>
          </w:tcPr>
          <w:p w:rsidR="00DB259F" w:rsidRPr="0036071F" w:rsidRDefault="00DB259F" w:rsidP="0036071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36071F">
              <w:rPr>
                <w:sz w:val="20"/>
                <w:szCs w:val="20"/>
                <w:lang w:val="uk-UA"/>
              </w:rPr>
              <w:t>-1,2</w:t>
            </w:r>
          </w:p>
        </w:tc>
        <w:tc>
          <w:tcPr>
            <w:tcW w:w="784" w:type="dxa"/>
            <w:shd w:val="clear" w:color="auto" w:fill="auto"/>
          </w:tcPr>
          <w:p w:rsidR="00DB259F" w:rsidRPr="0036071F" w:rsidRDefault="00DB259F" w:rsidP="0036071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36071F">
              <w:rPr>
                <w:sz w:val="20"/>
                <w:szCs w:val="20"/>
                <w:lang w:val="uk-UA"/>
              </w:rPr>
              <w:t>404,7</w:t>
            </w:r>
          </w:p>
        </w:tc>
        <w:tc>
          <w:tcPr>
            <w:tcW w:w="547" w:type="dxa"/>
            <w:shd w:val="clear" w:color="auto" w:fill="auto"/>
          </w:tcPr>
          <w:p w:rsidR="00DB259F" w:rsidRPr="0036071F" w:rsidRDefault="00DB259F" w:rsidP="0036071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DB259F" w:rsidRPr="0036071F" w:rsidTr="0036071F">
        <w:trPr>
          <w:jc w:val="center"/>
        </w:trPr>
        <w:tc>
          <w:tcPr>
            <w:tcW w:w="1615" w:type="dxa"/>
            <w:shd w:val="clear" w:color="auto" w:fill="auto"/>
          </w:tcPr>
          <w:p w:rsidR="00DB259F" w:rsidRPr="0036071F" w:rsidRDefault="00DB259F" w:rsidP="0036071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36071F">
              <w:rPr>
                <w:bCs/>
                <w:sz w:val="20"/>
                <w:szCs w:val="20"/>
                <w:lang w:val="uk-UA"/>
              </w:rPr>
              <w:t>Імпорт</w:t>
            </w:r>
          </w:p>
        </w:tc>
        <w:tc>
          <w:tcPr>
            <w:tcW w:w="998" w:type="dxa"/>
            <w:shd w:val="clear" w:color="auto" w:fill="auto"/>
          </w:tcPr>
          <w:p w:rsidR="00DB259F" w:rsidRPr="0036071F" w:rsidRDefault="00DB259F" w:rsidP="0036071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36071F">
              <w:rPr>
                <w:sz w:val="20"/>
                <w:szCs w:val="20"/>
                <w:lang w:val="uk-UA"/>
              </w:rPr>
              <w:t>4,8</w:t>
            </w:r>
          </w:p>
        </w:tc>
        <w:tc>
          <w:tcPr>
            <w:tcW w:w="547" w:type="dxa"/>
            <w:shd w:val="clear" w:color="auto" w:fill="auto"/>
          </w:tcPr>
          <w:p w:rsidR="00DB259F" w:rsidRPr="0036071F" w:rsidRDefault="00DB259F" w:rsidP="0036071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788" w:type="dxa"/>
            <w:shd w:val="clear" w:color="auto" w:fill="auto"/>
          </w:tcPr>
          <w:p w:rsidR="00DB259F" w:rsidRPr="0036071F" w:rsidRDefault="00DB259F" w:rsidP="0036071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36071F">
              <w:rPr>
                <w:sz w:val="20"/>
                <w:szCs w:val="20"/>
                <w:lang w:val="uk-UA"/>
              </w:rPr>
              <w:t>4,3</w:t>
            </w:r>
          </w:p>
        </w:tc>
        <w:tc>
          <w:tcPr>
            <w:tcW w:w="703" w:type="dxa"/>
            <w:shd w:val="clear" w:color="auto" w:fill="auto"/>
          </w:tcPr>
          <w:p w:rsidR="00DB259F" w:rsidRPr="0036071F" w:rsidRDefault="00DB259F" w:rsidP="0036071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36071F">
              <w:rPr>
                <w:sz w:val="20"/>
                <w:szCs w:val="20"/>
                <w:lang w:val="uk-UA"/>
              </w:rPr>
              <w:t>у</w:t>
            </w:r>
          </w:p>
          <w:p w:rsidR="00DB259F" w:rsidRPr="0036071F" w:rsidRDefault="00DB259F" w:rsidP="0036071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36071F">
              <w:rPr>
                <w:sz w:val="20"/>
                <w:szCs w:val="20"/>
                <w:lang w:val="uk-UA"/>
              </w:rPr>
              <w:t>78р.б.</w:t>
            </w:r>
          </w:p>
        </w:tc>
        <w:tc>
          <w:tcPr>
            <w:tcW w:w="788" w:type="dxa"/>
            <w:shd w:val="clear" w:color="auto" w:fill="auto"/>
          </w:tcPr>
          <w:p w:rsidR="00DB259F" w:rsidRPr="0036071F" w:rsidRDefault="00DB259F" w:rsidP="0036071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36071F">
              <w:rPr>
                <w:sz w:val="20"/>
                <w:szCs w:val="20"/>
                <w:lang w:val="uk-UA"/>
              </w:rPr>
              <w:t>10,4</w:t>
            </w:r>
          </w:p>
        </w:tc>
        <w:tc>
          <w:tcPr>
            <w:tcW w:w="913" w:type="dxa"/>
            <w:shd w:val="clear" w:color="auto" w:fill="auto"/>
          </w:tcPr>
          <w:p w:rsidR="00DB259F" w:rsidRPr="0036071F" w:rsidRDefault="00DB259F" w:rsidP="0036071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36071F">
              <w:rPr>
                <w:sz w:val="20"/>
                <w:szCs w:val="20"/>
                <w:lang w:val="uk-UA"/>
              </w:rPr>
              <w:t>У</w:t>
            </w:r>
          </w:p>
          <w:p w:rsidR="00DB259F" w:rsidRPr="0036071F" w:rsidRDefault="00DB259F" w:rsidP="0036071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36071F">
              <w:rPr>
                <w:sz w:val="20"/>
                <w:szCs w:val="20"/>
                <w:lang w:val="uk-UA"/>
              </w:rPr>
              <w:t>10,3р.б.</w:t>
            </w:r>
          </w:p>
        </w:tc>
        <w:tc>
          <w:tcPr>
            <w:tcW w:w="942" w:type="dxa"/>
            <w:shd w:val="clear" w:color="auto" w:fill="auto"/>
          </w:tcPr>
          <w:p w:rsidR="00DB259F" w:rsidRPr="0036071F" w:rsidRDefault="00DB259F" w:rsidP="0036071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36071F">
              <w:rPr>
                <w:sz w:val="20"/>
                <w:szCs w:val="20"/>
                <w:lang w:val="uk-UA"/>
              </w:rPr>
              <w:t>20,8</w:t>
            </w:r>
          </w:p>
        </w:tc>
        <w:tc>
          <w:tcPr>
            <w:tcW w:w="648" w:type="dxa"/>
            <w:shd w:val="clear" w:color="auto" w:fill="auto"/>
          </w:tcPr>
          <w:p w:rsidR="00DB259F" w:rsidRPr="0036071F" w:rsidRDefault="00DB259F" w:rsidP="0036071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36071F">
              <w:rPr>
                <w:sz w:val="20"/>
                <w:szCs w:val="20"/>
                <w:lang w:val="uk-UA"/>
              </w:rPr>
              <w:t>380,8</w:t>
            </w:r>
          </w:p>
        </w:tc>
        <w:tc>
          <w:tcPr>
            <w:tcW w:w="648" w:type="dxa"/>
            <w:shd w:val="clear" w:color="auto" w:fill="auto"/>
          </w:tcPr>
          <w:p w:rsidR="00DB259F" w:rsidRPr="0036071F" w:rsidRDefault="00DB259F" w:rsidP="0036071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36071F">
              <w:rPr>
                <w:sz w:val="20"/>
                <w:szCs w:val="20"/>
                <w:lang w:val="uk-UA"/>
              </w:rPr>
              <w:t>+45,4</w:t>
            </w:r>
          </w:p>
        </w:tc>
        <w:tc>
          <w:tcPr>
            <w:tcW w:w="784" w:type="dxa"/>
            <w:shd w:val="clear" w:color="auto" w:fill="auto"/>
          </w:tcPr>
          <w:p w:rsidR="00DB259F" w:rsidRPr="0036071F" w:rsidRDefault="00DB259F" w:rsidP="0036071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36071F">
              <w:rPr>
                <w:sz w:val="20"/>
                <w:szCs w:val="20"/>
                <w:lang w:val="uk-UA"/>
              </w:rPr>
              <w:t>17,3</w:t>
            </w:r>
          </w:p>
        </w:tc>
        <w:tc>
          <w:tcPr>
            <w:tcW w:w="547" w:type="dxa"/>
            <w:shd w:val="clear" w:color="auto" w:fill="auto"/>
          </w:tcPr>
          <w:p w:rsidR="00DB259F" w:rsidRPr="0036071F" w:rsidRDefault="00DB259F" w:rsidP="0036071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DB259F" w:rsidRPr="0036071F" w:rsidTr="0036071F">
        <w:trPr>
          <w:jc w:val="center"/>
        </w:trPr>
        <w:tc>
          <w:tcPr>
            <w:tcW w:w="1615" w:type="dxa"/>
            <w:shd w:val="clear" w:color="auto" w:fill="auto"/>
          </w:tcPr>
          <w:p w:rsidR="00DB259F" w:rsidRPr="0036071F" w:rsidRDefault="00DB259F" w:rsidP="0036071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36071F">
              <w:rPr>
                <w:bCs/>
                <w:sz w:val="20"/>
                <w:szCs w:val="20"/>
                <w:lang w:val="uk-UA"/>
              </w:rPr>
              <w:t>Сальдо</w:t>
            </w:r>
          </w:p>
        </w:tc>
        <w:tc>
          <w:tcPr>
            <w:tcW w:w="998" w:type="dxa"/>
            <w:shd w:val="clear" w:color="auto" w:fill="auto"/>
          </w:tcPr>
          <w:p w:rsidR="00DB259F" w:rsidRPr="0036071F" w:rsidRDefault="00DB259F" w:rsidP="0036071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36071F">
              <w:rPr>
                <w:sz w:val="20"/>
                <w:szCs w:val="20"/>
                <w:lang w:val="uk-UA"/>
              </w:rPr>
              <w:t>+132,3,2</w:t>
            </w:r>
          </w:p>
        </w:tc>
        <w:tc>
          <w:tcPr>
            <w:tcW w:w="547" w:type="dxa"/>
            <w:shd w:val="clear" w:color="auto" w:fill="auto"/>
          </w:tcPr>
          <w:p w:rsidR="00DB259F" w:rsidRPr="0036071F" w:rsidRDefault="00DB259F" w:rsidP="0036071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788" w:type="dxa"/>
            <w:shd w:val="clear" w:color="auto" w:fill="auto"/>
          </w:tcPr>
          <w:p w:rsidR="00DB259F" w:rsidRPr="0036071F" w:rsidRDefault="00DB259F" w:rsidP="0036071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36071F">
              <w:rPr>
                <w:sz w:val="20"/>
                <w:szCs w:val="20"/>
                <w:lang w:val="uk-UA"/>
              </w:rPr>
              <w:t>+420,8</w:t>
            </w:r>
          </w:p>
        </w:tc>
        <w:tc>
          <w:tcPr>
            <w:tcW w:w="703" w:type="dxa"/>
            <w:shd w:val="clear" w:color="auto" w:fill="auto"/>
          </w:tcPr>
          <w:p w:rsidR="00DB259F" w:rsidRPr="0036071F" w:rsidRDefault="00DB259F" w:rsidP="0036071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36071F">
              <w:rPr>
                <w:sz w:val="20"/>
                <w:szCs w:val="20"/>
                <w:lang w:val="uk-UA"/>
              </w:rPr>
              <w:t>–</w:t>
            </w:r>
          </w:p>
        </w:tc>
        <w:tc>
          <w:tcPr>
            <w:tcW w:w="788" w:type="dxa"/>
            <w:shd w:val="clear" w:color="auto" w:fill="auto"/>
          </w:tcPr>
          <w:p w:rsidR="00DB259F" w:rsidRPr="0036071F" w:rsidRDefault="00DB259F" w:rsidP="0036071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36071F">
              <w:rPr>
                <w:sz w:val="20"/>
                <w:szCs w:val="20"/>
                <w:lang w:val="uk-UA"/>
              </w:rPr>
              <w:t>+335,3</w:t>
            </w:r>
          </w:p>
        </w:tc>
        <w:tc>
          <w:tcPr>
            <w:tcW w:w="913" w:type="dxa"/>
            <w:shd w:val="clear" w:color="auto" w:fill="auto"/>
          </w:tcPr>
          <w:p w:rsidR="00DB259F" w:rsidRPr="0036071F" w:rsidRDefault="00DB259F" w:rsidP="0036071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36071F">
              <w:rPr>
                <w:sz w:val="20"/>
                <w:szCs w:val="20"/>
                <w:lang w:val="uk-UA"/>
              </w:rPr>
              <w:t>–</w:t>
            </w:r>
          </w:p>
        </w:tc>
        <w:tc>
          <w:tcPr>
            <w:tcW w:w="942" w:type="dxa"/>
            <w:shd w:val="clear" w:color="auto" w:fill="auto"/>
          </w:tcPr>
          <w:p w:rsidR="00DB259F" w:rsidRPr="0036071F" w:rsidRDefault="00DB259F" w:rsidP="0036071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36071F">
              <w:rPr>
                <w:sz w:val="20"/>
                <w:szCs w:val="20"/>
                <w:lang w:val="uk-UA"/>
              </w:rPr>
              <w:t>+371,8</w:t>
            </w:r>
          </w:p>
        </w:tc>
        <w:tc>
          <w:tcPr>
            <w:tcW w:w="648" w:type="dxa"/>
            <w:shd w:val="clear" w:color="auto" w:fill="auto"/>
          </w:tcPr>
          <w:p w:rsidR="00DB259F" w:rsidRPr="0036071F" w:rsidRDefault="00DB259F" w:rsidP="0036071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36071F">
              <w:rPr>
                <w:sz w:val="20"/>
                <w:szCs w:val="20"/>
                <w:lang w:val="uk-UA"/>
              </w:rPr>
              <w:t>+98,0</w:t>
            </w:r>
          </w:p>
        </w:tc>
        <w:tc>
          <w:tcPr>
            <w:tcW w:w="648" w:type="dxa"/>
            <w:shd w:val="clear" w:color="auto" w:fill="auto"/>
          </w:tcPr>
          <w:p w:rsidR="00DB259F" w:rsidRPr="0036071F" w:rsidRDefault="00DB259F" w:rsidP="0036071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36071F">
              <w:rPr>
                <w:sz w:val="20"/>
                <w:szCs w:val="20"/>
                <w:lang w:val="uk-UA"/>
              </w:rPr>
              <w:t>–</w:t>
            </w:r>
          </w:p>
        </w:tc>
        <w:tc>
          <w:tcPr>
            <w:tcW w:w="784" w:type="dxa"/>
            <w:shd w:val="clear" w:color="auto" w:fill="auto"/>
          </w:tcPr>
          <w:p w:rsidR="00DB259F" w:rsidRPr="0036071F" w:rsidRDefault="00DB259F" w:rsidP="0036071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36071F">
              <w:rPr>
                <w:sz w:val="20"/>
                <w:szCs w:val="20"/>
                <w:lang w:val="uk-UA"/>
              </w:rPr>
              <w:t>+387,4</w:t>
            </w:r>
          </w:p>
        </w:tc>
        <w:tc>
          <w:tcPr>
            <w:tcW w:w="547" w:type="dxa"/>
            <w:shd w:val="clear" w:color="auto" w:fill="auto"/>
          </w:tcPr>
          <w:p w:rsidR="00DB259F" w:rsidRPr="0036071F" w:rsidRDefault="00DB259F" w:rsidP="0036071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:rsidR="002143DE" w:rsidRPr="005D7FB4" w:rsidRDefault="002143DE" w:rsidP="005D7FB4">
      <w:pPr>
        <w:pStyle w:val="a3"/>
        <w:spacing w:before="0" w:beforeAutospacing="0" w:after="0" w:afterAutospacing="0" w:line="360" w:lineRule="auto"/>
        <w:jc w:val="both"/>
        <w:rPr>
          <w:sz w:val="20"/>
          <w:szCs w:val="20"/>
          <w:lang w:val="uk-UA"/>
        </w:rPr>
      </w:pPr>
    </w:p>
    <w:p w:rsidR="009C7E9D" w:rsidRPr="005D7FB4" w:rsidRDefault="009C7E9D" w:rsidP="005D7FB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5D7FB4">
        <w:rPr>
          <w:bCs/>
          <w:sz w:val="28"/>
          <w:szCs w:val="28"/>
          <w:lang w:val="uk-UA"/>
        </w:rPr>
        <w:t>Показники зовнішньої торгівлі послугами між Україною та ОАЕ за  даними Держкомстату України/ Міністерства економіки та планування ОАЕ,</w:t>
      </w:r>
      <w:r w:rsidRPr="005D7FB4">
        <w:rPr>
          <w:sz w:val="28"/>
          <w:szCs w:val="28"/>
          <w:lang w:val="uk-UA"/>
        </w:rPr>
        <w:t xml:space="preserve"> млн. дол. США</w:t>
      </w:r>
    </w:p>
    <w:p w:rsidR="00A75138" w:rsidRPr="005D7FB4" w:rsidRDefault="00A75138" w:rsidP="005D7FB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tbl>
      <w:tblPr>
        <w:tblW w:w="6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5"/>
        <w:gridCol w:w="916"/>
        <w:gridCol w:w="916"/>
        <w:gridCol w:w="916"/>
        <w:gridCol w:w="942"/>
        <w:gridCol w:w="1005"/>
      </w:tblGrid>
      <w:tr w:rsidR="00A75138" w:rsidRPr="0036071F" w:rsidTr="0036071F">
        <w:trPr>
          <w:jc w:val="center"/>
        </w:trPr>
        <w:tc>
          <w:tcPr>
            <w:tcW w:w="1655" w:type="dxa"/>
            <w:shd w:val="clear" w:color="auto" w:fill="auto"/>
          </w:tcPr>
          <w:p w:rsidR="00A75138" w:rsidRPr="0036071F" w:rsidRDefault="00A75138" w:rsidP="0036071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36071F">
              <w:rPr>
                <w:sz w:val="20"/>
                <w:szCs w:val="20"/>
                <w:lang w:val="uk-UA"/>
              </w:rPr>
              <w:t>Показники</w:t>
            </w:r>
          </w:p>
        </w:tc>
        <w:tc>
          <w:tcPr>
            <w:tcW w:w="916" w:type="dxa"/>
            <w:shd w:val="clear" w:color="auto" w:fill="auto"/>
          </w:tcPr>
          <w:p w:rsidR="00A75138" w:rsidRPr="0036071F" w:rsidRDefault="00A75138" w:rsidP="0036071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36071F">
              <w:rPr>
                <w:bCs/>
                <w:sz w:val="20"/>
                <w:szCs w:val="20"/>
                <w:lang w:val="uk-UA"/>
              </w:rPr>
              <w:t>2003</w:t>
            </w:r>
          </w:p>
        </w:tc>
        <w:tc>
          <w:tcPr>
            <w:tcW w:w="916" w:type="dxa"/>
            <w:shd w:val="clear" w:color="auto" w:fill="auto"/>
          </w:tcPr>
          <w:p w:rsidR="00A75138" w:rsidRPr="0036071F" w:rsidRDefault="00A75138" w:rsidP="0036071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36071F">
              <w:rPr>
                <w:bCs/>
                <w:sz w:val="20"/>
                <w:szCs w:val="20"/>
                <w:lang w:val="uk-UA"/>
              </w:rPr>
              <w:t>2004</w:t>
            </w:r>
          </w:p>
        </w:tc>
        <w:tc>
          <w:tcPr>
            <w:tcW w:w="916" w:type="dxa"/>
            <w:shd w:val="clear" w:color="auto" w:fill="auto"/>
          </w:tcPr>
          <w:p w:rsidR="00A75138" w:rsidRPr="0036071F" w:rsidRDefault="00A75138" w:rsidP="0036071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36071F">
              <w:rPr>
                <w:bCs/>
                <w:sz w:val="20"/>
                <w:szCs w:val="20"/>
                <w:lang w:val="uk-UA"/>
              </w:rPr>
              <w:t>2005</w:t>
            </w:r>
          </w:p>
        </w:tc>
        <w:tc>
          <w:tcPr>
            <w:tcW w:w="942" w:type="dxa"/>
            <w:shd w:val="clear" w:color="auto" w:fill="auto"/>
          </w:tcPr>
          <w:p w:rsidR="00A75138" w:rsidRPr="0036071F" w:rsidRDefault="00A75138" w:rsidP="0036071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36071F">
              <w:rPr>
                <w:bCs/>
                <w:sz w:val="20"/>
                <w:szCs w:val="20"/>
                <w:lang w:val="uk-UA"/>
              </w:rPr>
              <w:t>2006</w:t>
            </w:r>
          </w:p>
        </w:tc>
        <w:tc>
          <w:tcPr>
            <w:tcW w:w="1005" w:type="dxa"/>
            <w:shd w:val="clear" w:color="auto" w:fill="auto"/>
          </w:tcPr>
          <w:p w:rsidR="00A75138" w:rsidRPr="0036071F" w:rsidRDefault="00A75138" w:rsidP="0036071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36071F">
              <w:rPr>
                <w:bCs/>
                <w:sz w:val="20"/>
                <w:szCs w:val="20"/>
                <w:lang w:val="uk-UA"/>
              </w:rPr>
              <w:t>01-09.</w:t>
            </w:r>
          </w:p>
          <w:p w:rsidR="00A75138" w:rsidRPr="0036071F" w:rsidRDefault="00A75138" w:rsidP="0036071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36071F">
              <w:rPr>
                <w:bCs/>
                <w:sz w:val="20"/>
                <w:szCs w:val="20"/>
                <w:lang w:val="uk-UA"/>
              </w:rPr>
              <w:t>2007</w:t>
            </w:r>
          </w:p>
        </w:tc>
      </w:tr>
      <w:tr w:rsidR="00A75138" w:rsidRPr="0036071F" w:rsidTr="0036071F">
        <w:trPr>
          <w:jc w:val="center"/>
        </w:trPr>
        <w:tc>
          <w:tcPr>
            <w:tcW w:w="1655" w:type="dxa"/>
            <w:shd w:val="clear" w:color="auto" w:fill="auto"/>
          </w:tcPr>
          <w:p w:rsidR="00A75138" w:rsidRPr="0036071F" w:rsidRDefault="00A75138" w:rsidP="0036071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36071F">
              <w:rPr>
                <w:bCs/>
                <w:sz w:val="20"/>
                <w:szCs w:val="20"/>
                <w:lang w:val="uk-UA"/>
              </w:rPr>
              <w:t>Обсяг </w:t>
            </w:r>
          </w:p>
        </w:tc>
        <w:tc>
          <w:tcPr>
            <w:tcW w:w="916" w:type="dxa"/>
            <w:shd w:val="clear" w:color="auto" w:fill="auto"/>
          </w:tcPr>
          <w:p w:rsidR="00A75138" w:rsidRPr="0036071F" w:rsidRDefault="00A75138" w:rsidP="0036071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36071F">
              <w:rPr>
                <w:sz w:val="20"/>
                <w:szCs w:val="20"/>
                <w:lang w:val="uk-UA"/>
              </w:rPr>
              <w:t>11,6</w:t>
            </w:r>
          </w:p>
        </w:tc>
        <w:tc>
          <w:tcPr>
            <w:tcW w:w="916" w:type="dxa"/>
            <w:shd w:val="clear" w:color="auto" w:fill="auto"/>
          </w:tcPr>
          <w:p w:rsidR="00A75138" w:rsidRPr="0036071F" w:rsidRDefault="00A75138" w:rsidP="0036071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36071F">
              <w:rPr>
                <w:sz w:val="20"/>
                <w:szCs w:val="20"/>
                <w:lang w:val="uk-UA"/>
              </w:rPr>
              <w:t>21,8</w:t>
            </w:r>
          </w:p>
        </w:tc>
        <w:tc>
          <w:tcPr>
            <w:tcW w:w="916" w:type="dxa"/>
            <w:shd w:val="clear" w:color="auto" w:fill="auto"/>
          </w:tcPr>
          <w:p w:rsidR="00A75138" w:rsidRPr="0036071F" w:rsidRDefault="00A75138" w:rsidP="0036071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36071F">
              <w:rPr>
                <w:sz w:val="20"/>
                <w:szCs w:val="20"/>
                <w:lang w:val="uk-UA"/>
              </w:rPr>
              <w:t>36,7</w:t>
            </w:r>
          </w:p>
        </w:tc>
        <w:tc>
          <w:tcPr>
            <w:tcW w:w="942" w:type="dxa"/>
            <w:shd w:val="clear" w:color="auto" w:fill="auto"/>
          </w:tcPr>
          <w:p w:rsidR="00A75138" w:rsidRPr="0036071F" w:rsidRDefault="00A75138" w:rsidP="0036071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36071F">
              <w:rPr>
                <w:sz w:val="20"/>
                <w:szCs w:val="20"/>
                <w:lang w:val="uk-UA"/>
              </w:rPr>
              <w:t>73,3</w:t>
            </w:r>
          </w:p>
        </w:tc>
        <w:tc>
          <w:tcPr>
            <w:tcW w:w="1005" w:type="dxa"/>
            <w:shd w:val="clear" w:color="auto" w:fill="auto"/>
          </w:tcPr>
          <w:p w:rsidR="00A75138" w:rsidRPr="0036071F" w:rsidRDefault="00A75138" w:rsidP="0036071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36071F">
              <w:rPr>
                <w:sz w:val="20"/>
                <w:szCs w:val="20"/>
                <w:lang w:val="uk-UA"/>
              </w:rPr>
              <w:t>39,1</w:t>
            </w:r>
          </w:p>
        </w:tc>
      </w:tr>
      <w:tr w:rsidR="00A75138" w:rsidRPr="0036071F" w:rsidTr="0036071F">
        <w:trPr>
          <w:jc w:val="center"/>
        </w:trPr>
        <w:tc>
          <w:tcPr>
            <w:tcW w:w="1655" w:type="dxa"/>
            <w:shd w:val="clear" w:color="auto" w:fill="auto"/>
          </w:tcPr>
          <w:p w:rsidR="00A75138" w:rsidRPr="0036071F" w:rsidRDefault="00A75138" w:rsidP="0036071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36071F">
              <w:rPr>
                <w:bCs/>
                <w:sz w:val="20"/>
                <w:szCs w:val="20"/>
                <w:lang w:val="uk-UA"/>
              </w:rPr>
              <w:t>Експорт</w:t>
            </w:r>
          </w:p>
        </w:tc>
        <w:tc>
          <w:tcPr>
            <w:tcW w:w="916" w:type="dxa"/>
            <w:shd w:val="clear" w:color="auto" w:fill="auto"/>
          </w:tcPr>
          <w:p w:rsidR="00A75138" w:rsidRPr="0036071F" w:rsidRDefault="00A75138" w:rsidP="0036071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36071F">
              <w:rPr>
                <w:sz w:val="20"/>
                <w:szCs w:val="20"/>
                <w:lang w:val="uk-UA"/>
              </w:rPr>
              <w:t>8,9</w:t>
            </w:r>
          </w:p>
        </w:tc>
        <w:tc>
          <w:tcPr>
            <w:tcW w:w="916" w:type="dxa"/>
            <w:shd w:val="clear" w:color="auto" w:fill="auto"/>
          </w:tcPr>
          <w:p w:rsidR="00A75138" w:rsidRPr="0036071F" w:rsidRDefault="00A75138" w:rsidP="0036071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36071F">
              <w:rPr>
                <w:sz w:val="20"/>
                <w:szCs w:val="20"/>
                <w:lang w:val="uk-UA"/>
              </w:rPr>
              <w:t>12,4</w:t>
            </w:r>
          </w:p>
        </w:tc>
        <w:tc>
          <w:tcPr>
            <w:tcW w:w="916" w:type="dxa"/>
            <w:shd w:val="clear" w:color="auto" w:fill="auto"/>
          </w:tcPr>
          <w:p w:rsidR="00A75138" w:rsidRPr="0036071F" w:rsidRDefault="00A75138" w:rsidP="0036071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36071F">
              <w:rPr>
                <w:sz w:val="20"/>
                <w:szCs w:val="20"/>
                <w:lang w:val="uk-UA"/>
              </w:rPr>
              <w:t>26,0</w:t>
            </w:r>
          </w:p>
        </w:tc>
        <w:tc>
          <w:tcPr>
            <w:tcW w:w="942" w:type="dxa"/>
            <w:shd w:val="clear" w:color="auto" w:fill="auto"/>
          </w:tcPr>
          <w:p w:rsidR="00A75138" w:rsidRPr="0036071F" w:rsidRDefault="00A75138" w:rsidP="0036071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36071F">
              <w:rPr>
                <w:sz w:val="20"/>
                <w:szCs w:val="20"/>
                <w:lang w:val="uk-UA"/>
              </w:rPr>
              <w:t>43,9</w:t>
            </w:r>
          </w:p>
        </w:tc>
        <w:tc>
          <w:tcPr>
            <w:tcW w:w="1005" w:type="dxa"/>
            <w:shd w:val="clear" w:color="auto" w:fill="auto"/>
          </w:tcPr>
          <w:p w:rsidR="00A75138" w:rsidRPr="0036071F" w:rsidRDefault="00A75138" w:rsidP="0036071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36071F">
              <w:rPr>
                <w:sz w:val="20"/>
                <w:szCs w:val="20"/>
                <w:lang w:val="uk-UA"/>
              </w:rPr>
              <w:t>23,0</w:t>
            </w:r>
          </w:p>
        </w:tc>
      </w:tr>
      <w:tr w:rsidR="00A75138" w:rsidRPr="0036071F" w:rsidTr="0036071F">
        <w:trPr>
          <w:jc w:val="center"/>
        </w:trPr>
        <w:tc>
          <w:tcPr>
            <w:tcW w:w="1655" w:type="dxa"/>
            <w:shd w:val="clear" w:color="auto" w:fill="auto"/>
          </w:tcPr>
          <w:p w:rsidR="00A75138" w:rsidRPr="0036071F" w:rsidRDefault="00A75138" w:rsidP="0036071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36071F">
              <w:rPr>
                <w:bCs/>
                <w:sz w:val="20"/>
                <w:szCs w:val="20"/>
                <w:lang w:val="uk-UA"/>
              </w:rPr>
              <w:t>Імпорт</w:t>
            </w:r>
          </w:p>
        </w:tc>
        <w:tc>
          <w:tcPr>
            <w:tcW w:w="916" w:type="dxa"/>
            <w:shd w:val="clear" w:color="auto" w:fill="auto"/>
          </w:tcPr>
          <w:p w:rsidR="00A75138" w:rsidRPr="0036071F" w:rsidRDefault="00A75138" w:rsidP="0036071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36071F">
              <w:rPr>
                <w:sz w:val="20"/>
                <w:szCs w:val="20"/>
                <w:lang w:val="uk-UA"/>
              </w:rPr>
              <w:t>2,7</w:t>
            </w:r>
          </w:p>
        </w:tc>
        <w:tc>
          <w:tcPr>
            <w:tcW w:w="916" w:type="dxa"/>
            <w:shd w:val="clear" w:color="auto" w:fill="auto"/>
          </w:tcPr>
          <w:p w:rsidR="00A75138" w:rsidRPr="0036071F" w:rsidRDefault="00A75138" w:rsidP="0036071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36071F">
              <w:rPr>
                <w:sz w:val="20"/>
                <w:szCs w:val="20"/>
                <w:lang w:val="uk-UA"/>
              </w:rPr>
              <w:t>7,4</w:t>
            </w:r>
          </w:p>
        </w:tc>
        <w:tc>
          <w:tcPr>
            <w:tcW w:w="916" w:type="dxa"/>
            <w:shd w:val="clear" w:color="auto" w:fill="auto"/>
          </w:tcPr>
          <w:p w:rsidR="00A75138" w:rsidRPr="0036071F" w:rsidRDefault="00A75138" w:rsidP="0036071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36071F">
              <w:rPr>
                <w:sz w:val="20"/>
                <w:szCs w:val="20"/>
                <w:lang w:val="uk-UA"/>
              </w:rPr>
              <w:t>10,7</w:t>
            </w:r>
          </w:p>
        </w:tc>
        <w:tc>
          <w:tcPr>
            <w:tcW w:w="942" w:type="dxa"/>
            <w:shd w:val="clear" w:color="auto" w:fill="auto"/>
          </w:tcPr>
          <w:p w:rsidR="00A75138" w:rsidRPr="0036071F" w:rsidRDefault="00A75138" w:rsidP="0036071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36071F">
              <w:rPr>
                <w:sz w:val="20"/>
                <w:szCs w:val="20"/>
                <w:lang w:val="uk-UA"/>
              </w:rPr>
              <w:t>29,4</w:t>
            </w:r>
          </w:p>
        </w:tc>
        <w:tc>
          <w:tcPr>
            <w:tcW w:w="1005" w:type="dxa"/>
            <w:shd w:val="clear" w:color="auto" w:fill="auto"/>
          </w:tcPr>
          <w:p w:rsidR="00A75138" w:rsidRPr="0036071F" w:rsidRDefault="00A75138" w:rsidP="0036071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36071F">
              <w:rPr>
                <w:sz w:val="20"/>
                <w:szCs w:val="20"/>
                <w:lang w:val="uk-UA"/>
              </w:rPr>
              <w:t>16,1</w:t>
            </w:r>
          </w:p>
        </w:tc>
      </w:tr>
      <w:tr w:rsidR="00A75138" w:rsidRPr="0036071F" w:rsidTr="0036071F">
        <w:trPr>
          <w:jc w:val="center"/>
        </w:trPr>
        <w:tc>
          <w:tcPr>
            <w:tcW w:w="1655" w:type="dxa"/>
            <w:shd w:val="clear" w:color="auto" w:fill="auto"/>
          </w:tcPr>
          <w:p w:rsidR="00A75138" w:rsidRPr="0036071F" w:rsidRDefault="00A75138" w:rsidP="0036071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36071F">
              <w:rPr>
                <w:bCs/>
                <w:sz w:val="20"/>
                <w:szCs w:val="20"/>
                <w:lang w:val="uk-UA"/>
              </w:rPr>
              <w:t>Сальдо</w:t>
            </w:r>
          </w:p>
        </w:tc>
        <w:tc>
          <w:tcPr>
            <w:tcW w:w="916" w:type="dxa"/>
            <w:shd w:val="clear" w:color="auto" w:fill="auto"/>
          </w:tcPr>
          <w:p w:rsidR="00A75138" w:rsidRPr="0036071F" w:rsidRDefault="00A75138" w:rsidP="0036071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36071F">
              <w:rPr>
                <w:sz w:val="20"/>
                <w:szCs w:val="20"/>
                <w:lang w:val="uk-UA"/>
              </w:rPr>
              <w:t>6,2</w:t>
            </w:r>
          </w:p>
        </w:tc>
        <w:tc>
          <w:tcPr>
            <w:tcW w:w="916" w:type="dxa"/>
            <w:shd w:val="clear" w:color="auto" w:fill="auto"/>
          </w:tcPr>
          <w:p w:rsidR="00A75138" w:rsidRPr="0036071F" w:rsidRDefault="00A75138" w:rsidP="0036071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36071F">
              <w:rPr>
                <w:sz w:val="20"/>
                <w:szCs w:val="20"/>
                <w:lang w:val="uk-UA"/>
              </w:rPr>
              <w:t>5,0</w:t>
            </w:r>
          </w:p>
        </w:tc>
        <w:tc>
          <w:tcPr>
            <w:tcW w:w="916" w:type="dxa"/>
            <w:shd w:val="clear" w:color="auto" w:fill="auto"/>
          </w:tcPr>
          <w:p w:rsidR="00A75138" w:rsidRPr="0036071F" w:rsidRDefault="00A75138" w:rsidP="0036071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36071F">
              <w:rPr>
                <w:sz w:val="20"/>
                <w:szCs w:val="20"/>
                <w:lang w:val="uk-UA"/>
              </w:rPr>
              <w:t>15,3</w:t>
            </w:r>
          </w:p>
        </w:tc>
        <w:tc>
          <w:tcPr>
            <w:tcW w:w="942" w:type="dxa"/>
            <w:shd w:val="clear" w:color="auto" w:fill="auto"/>
          </w:tcPr>
          <w:p w:rsidR="00A75138" w:rsidRPr="0036071F" w:rsidRDefault="00A75138" w:rsidP="0036071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36071F">
              <w:rPr>
                <w:sz w:val="20"/>
                <w:szCs w:val="20"/>
                <w:lang w:val="uk-UA"/>
              </w:rPr>
              <w:t>+15,5</w:t>
            </w:r>
          </w:p>
        </w:tc>
        <w:tc>
          <w:tcPr>
            <w:tcW w:w="1005" w:type="dxa"/>
            <w:shd w:val="clear" w:color="auto" w:fill="auto"/>
          </w:tcPr>
          <w:p w:rsidR="00A75138" w:rsidRPr="0036071F" w:rsidRDefault="00A75138" w:rsidP="0036071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  <w:lang w:val="uk-UA"/>
              </w:rPr>
            </w:pPr>
            <w:r w:rsidRPr="0036071F">
              <w:rPr>
                <w:sz w:val="20"/>
                <w:szCs w:val="20"/>
                <w:lang w:val="uk-UA"/>
              </w:rPr>
              <w:t>6,9</w:t>
            </w:r>
          </w:p>
        </w:tc>
      </w:tr>
    </w:tbl>
    <w:p w:rsidR="00161AAE" w:rsidRPr="005D7FB4" w:rsidRDefault="00161AAE" w:rsidP="005D7FB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bCs/>
          <w:sz w:val="28"/>
          <w:szCs w:val="32"/>
        </w:rPr>
      </w:pPr>
    </w:p>
    <w:p w:rsidR="00DA1D20" w:rsidRPr="005D7FB4" w:rsidRDefault="005D7FB4" w:rsidP="005D7FB4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="TimesNewRomanPSMT"/>
          <w:b/>
          <w:bCs/>
          <w:sz w:val="28"/>
          <w:szCs w:val="32"/>
        </w:rPr>
      </w:pPr>
      <w:r>
        <w:rPr>
          <w:rFonts w:eastAsia="TimesNewRomanPSMT"/>
          <w:bCs/>
          <w:sz w:val="28"/>
          <w:szCs w:val="32"/>
        </w:rPr>
        <w:br w:type="page"/>
      </w:r>
      <w:r w:rsidR="00DA1D20" w:rsidRPr="005D7FB4">
        <w:rPr>
          <w:rFonts w:eastAsia="TimesNewRomanPSMT"/>
          <w:b/>
          <w:bCs/>
          <w:sz w:val="28"/>
          <w:szCs w:val="32"/>
        </w:rPr>
        <w:t>Висновки</w:t>
      </w:r>
    </w:p>
    <w:p w:rsidR="00DA1D20" w:rsidRPr="005D7FB4" w:rsidRDefault="00DA1D20" w:rsidP="005D7FB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bCs/>
          <w:sz w:val="28"/>
          <w:szCs w:val="32"/>
        </w:rPr>
      </w:pPr>
    </w:p>
    <w:p w:rsidR="000E6BF3" w:rsidRPr="005D7FB4" w:rsidRDefault="000E6BF3" w:rsidP="005D7FB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sz w:val="28"/>
          <w:szCs w:val="28"/>
        </w:rPr>
      </w:pPr>
      <w:r w:rsidRPr="005D7FB4">
        <w:rPr>
          <w:rFonts w:eastAsia="TimesNewRomanPSMT"/>
          <w:sz w:val="28"/>
          <w:szCs w:val="28"/>
        </w:rPr>
        <w:t>Не ідеалізуючи перспектив роботи з Близьким Сходом,</w:t>
      </w:r>
      <w:r w:rsidR="00D36D1C" w:rsidRPr="005D7FB4">
        <w:rPr>
          <w:rFonts w:eastAsia="TimesNewRomanPSMT"/>
          <w:sz w:val="28"/>
          <w:szCs w:val="28"/>
        </w:rPr>
        <w:t xml:space="preserve"> а особливо з Об’єднаними арабськими еміратами,</w:t>
      </w:r>
      <w:r w:rsidRPr="005D7FB4">
        <w:rPr>
          <w:rFonts w:eastAsia="TimesNewRomanPSMT"/>
          <w:sz w:val="28"/>
          <w:szCs w:val="28"/>
        </w:rPr>
        <w:t xml:space="preserve"> можна з упевненістю стверджувати, що і кількісні, і якісні параметри економічних відносин тут можуть бути на порядок вищі. Насамперед за рахунок кращої організації та координації цієї роботи. На прикладах двосторонніх економічних відносин  України з арабськими країнами чітко простежуються можливості реалізації як великих державних проектів, так і інтересів середнього і малого бізнесу.</w:t>
      </w:r>
    </w:p>
    <w:p w:rsidR="000E6BF3" w:rsidRPr="005D7FB4" w:rsidRDefault="000E6BF3" w:rsidP="005D7FB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sz w:val="28"/>
          <w:szCs w:val="28"/>
        </w:rPr>
      </w:pPr>
      <w:r w:rsidRPr="005D7FB4">
        <w:rPr>
          <w:rFonts w:eastAsia="TimesNewRomanPSMT"/>
          <w:sz w:val="28"/>
          <w:szCs w:val="28"/>
        </w:rPr>
        <w:t>Політична підтримка зусиль регіонів України та більш ефективне поширення інформації про себе на Близькому і Середньому Сході гарантовано дадуть значне покращення багатостороннього взаємовигідного співробітництва з більшістю арабських держав. Для якісної і швидкої зміни ситуації в даному напрямі необхідне дотримання двох умов: предметне і більш тісне співробітництво регіонів із Міністерством закордонних справ, зовнішньоекономічними відомствами і ТПП України, а також вивчення на експертному рівні перспектив і можливостей просування українських регіонів на близькосхідних ринках, поширення на Близькому Сході інформації про можливості співпраці з українськими регіонами в різних сферах, зокрема, шляхом проведення бізнес-форумів і презентацій окремих регіонів.</w:t>
      </w:r>
    </w:p>
    <w:p w:rsidR="002479E5" w:rsidRPr="005D7FB4" w:rsidRDefault="005D7FB4" w:rsidP="005D7FB4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="TimesNewRomanPSMT"/>
          <w:b/>
          <w:bCs/>
          <w:sz w:val="28"/>
          <w:szCs w:val="32"/>
        </w:rPr>
      </w:pPr>
      <w:r>
        <w:rPr>
          <w:rFonts w:eastAsia="TimesNewRomanPSMT"/>
          <w:bCs/>
          <w:sz w:val="28"/>
          <w:szCs w:val="32"/>
        </w:rPr>
        <w:br w:type="page"/>
      </w:r>
      <w:r w:rsidR="002479E5" w:rsidRPr="005D7FB4">
        <w:rPr>
          <w:rFonts w:eastAsia="TimesNewRomanPSMT"/>
          <w:b/>
          <w:bCs/>
          <w:sz w:val="28"/>
          <w:szCs w:val="32"/>
        </w:rPr>
        <w:t>Список використаної літератури</w:t>
      </w:r>
    </w:p>
    <w:p w:rsidR="00B316DF" w:rsidRPr="005D7FB4" w:rsidRDefault="00B316DF" w:rsidP="005D7FB4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="TimesNewRomanPSMT"/>
          <w:b/>
          <w:bCs/>
          <w:sz w:val="28"/>
          <w:szCs w:val="32"/>
        </w:rPr>
      </w:pPr>
    </w:p>
    <w:p w:rsidR="00C8533C" w:rsidRPr="005D7FB4" w:rsidRDefault="00C8533C" w:rsidP="005D7FB4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NewRomanPSMT"/>
          <w:sz w:val="28"/>
          <w:szCs w:val="28"/>
        </w:rPr>
      </w:pPr>
      <w:r w:rsidRPr="005D7FB4">
        <w:rPr>
          <w:rFonts w:eastAsia="TimesNewRomanPSMT"/>
          <w:sz w:val="28"/>
          <w:szCs w:val="28"/>
        </w:rPr>
        <w:t>Дипломатична хроніка Міністерства закордонних справ України</w:t>
      </w:r>
    </w:p>
    <w:p w:rsidR="00C8533C" w:rsidRPr="005D7FB4" w:rsidRDefault="00C8533C" w:rsidP="005D7FB4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NewRomanPSMT"/>
          <w:sz w:val="28"/>
          <w:szCs w:val="28"/>
        </w:rPr>
      </w:pPr>
      <w:r w:rsidRPr="005D7FB4">
        <w:rPr>
          <w:rFonts w:eastAsia="TimesNewRomanPSMT"/>
          <w:sz w:val="28"/>
          <w:szCs w:val="28"/>
        </w:rPr>
        <w:t>Рубан А. Про деякі питання і тенденції сучасної зовнішньої торгівлі України // Економіка України, №7, 2000.</w:t>
      </w:r>
    </w:p>
    <w:p w:rsidR="00C8533C" w:rsidRPr="005D7FB4" w:rsidRDefault="00C8533C" w:rsidP="005D7FB4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NewRomanPSMT"/>
          <w:sz w:val="28"/>
          <w:szCs w:val="28"/>
        </w:rPr>
      </w:pPr>
      <w:r w:rsidRPr="005D7FB4">
        <w:rPr>
          <w:rFonts w:eastAsia="TimesNewRomanPSMT"/>
          <w:sz w:val="28"/>
          <w:szCs w:val="28"/>
        </w:rPr>
        <w:t>Сєров Д., Наша надія – Арабський Схід // День, № 13 (413) 26.03.2007</w:t>
      </w:r>
    </w:p>
    <w:p w:rsidR="00C8533C" w:rsidRPr="005D7FB4" w:rsidRDefault="00C8533C" w:rsidP="005D7FB4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NewRomanPSMT"/>
          <w:sz w:val="28"/>
          <w:szCs w:val="28"/>
        </w:rPr>
      </w:pPr>
      <w:r w:rsidRPr="005D7FB4">
        <w:rPr>
          <w:rFonts w:eastAsia="TimesNewRomanPSMT"/>
          <w:sz w:val="28"/>
          <w:szCs w:val="28"/>
        </w:rPr>
        <w:t>Сєров Д., Південь України і Близький Схід: стан і перспективи економічної співпраці (на прикладі Одеської області)//Стратегічні пріоритети, №4(5), 2007 р.</w:t>
      </w:r>
    </w:p>
    <w:p w:rsidR="002479E5" w:rsidRPr="005D7FB4" w:rsidRDefault="00C8533C" w:rsidP="005D7FB4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NewRomanPSMT"/>
          <w:sz w:val="28"/>
          <w:szCs w:val="28"/>
        </w:rPr>
      </w:pPr>
      <w:r w:rsidRPr="005D7FB4">
        <w:rPr>
          <w:rFonts w:eastAsia="TimesNewRomanPSMT"/>
          <w:sz w:val="28"/>
          <w:szCs w:val="28"/>
        </w:rPr>
        <w:t>Школа І.М., Козменко В.М. Міжнародні економічні відносини: середовище, форми, бізнес та інтеграція: Навчальний посібник.–Чернівці, 1996.</w:t>
      </w:r>
      <w:bookmarkStart w:id="0" w:name="_GoBack"/>
      <w:bookmarkEnd w:id="0"/>
    </w:p>
    <w:sectPr w:rsidR="002479E5" w:rsidRPr="005D7FB4" w:rsidSect="005D7FB4">
      <w:footerReference w:type="even" r:id="rId7"/>
      <w:foot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71F" w:rsidRDefault="0036071F">
      <w:r>
        <w:separator/>
      </w:r>
    </w:p>
  </w:endnote>
  <w:endnote w:type="continuationSeparator" w:id="0">
    <w:p w:rsidR="0036071F" w:rsidRDefault="00360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669" w:rsidRDefault="00A36669" w:rsidP="0039665A">
    <w:pPr>
      <w:pStyle w:val="a7"/>
      <w:framePr w:wrap="around" w:vAnchor="text" w:hAnchor="margin" w:xAlign="right" w:y="1"/>
      <w:rPr>
        <w:rStyle w:val="a9"/>
      </w:rPr>
    </w:pPr>
  </w:p>
  <w:p w:rsidR="00A36669" w:rsidRDefault="00A36669" w:rsidP="0039665A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669" w:rsidRDefault="00EF72BA" w:rsidP="0039665A">
    <w:pPr>
      <w:pStyle w:val="a7"/>
      <w:framePr w:wrap="around" w:vAnchor="text" w:hAnchor="margin" w:xAlign="right" w:y="1"/>
      <w:rPr>
        <w:rStyle w:val="a9"/>
      </w:rPr>
    </w:pPr>
    <w:r>
      <w:rPr>
        <w:rStyle w:val="a9"/>
        <w:noProof/>
      </w:rPr>
      <w:t>3</w:t>
    </w:r>
  </w:p>
  <w:p w:rsidR="00A36669" w:rsidRDefault="00A36669" w:rsidP="0039665A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71F" w:rsidRDefault="0036071F">
      <w:r>
        <w:separator/>
      </w:r>
    </w:p>
  </w:footnote>
  <w:footnote w:type="continuationSeparator" w:id="0">
    <w:p w:rsidR="0036071F" w:rsidRDefault="00360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B57B8"/>
    <w:multiLevelType w:val="hybridMultilevel"/>
    <w:tmpl w:val="F8EC0C5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>
    <w:nsid w:val="3D676B63"/>
    <w:multiLevelType w:val="hybridMultilevel"/>
    <w:tmpl w:val="E5B29416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">
    <w:nsid w:val="50C43396"/>
    <w:multiLevelType w:val="hybridMultilevel"/>
    <w:tmpl w:val="59BE33D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669F"/>
    <w:rsid w:val="00054724"/>
    <w:rsid w:val="00067DB7"/>
    <w:rsid w:val="00093114"/>
    <w:rsid w:val="000A2AD6"/>
    <w:rsid w:val="000E13EB"/>
    <w:rsid w:val="000E6BF3"/>
    <w:rsid w:val="00161AAE"/>
    <w:rsid w:val="00171858"/>
    <w:rsid w:val="001A72A7"/>
    <w:rsid w:val="001A7CB6"/>
    <w:rsid w:val="001C6636"/>
    <w:rsid w:val="002143DE"/>
    <w:rsid w:val="00217280"/>
    <w:rsid w:val="002479E5"/>
    <w:rsid w:val="00286E9D"/>
    <w:rsid w:val="002C3321"/>
    <w:rsid w:val="002F7161"/>
    <w:rsid w:val="0036071F"/>
    <w:rsid w:val="00380513"/>
    <w:rsid w:val="0039665A"/>
    <w:rsid w:val="00397D6F"/>
    <w:rsid w:val="003C0E83"/>
    <w:rsid w:val="003D7224"/>
    <w:rsid w:val="003E15A3"/>
    <w:rsid w:val="00413F03"/>
    <w:rsid w:val="004238CC"/>
    <w:rsid w:val="0042669F"/>
    <w:rsid w:val="004344E4"/>
    <w:rsid w:val="00483866"/>
    <w:rsid w:val="00496382"/>
    <w:rsid w:val="004B28B8"/>
    <w:rsid w:val="004C3918"/>
    <w:rsid w:val="004E5993"/>
    <w:rsid w:val="00545D66"/>
    <w:rsid w:val="00547CE9"/>
    <w:rsid w:val="0056127F"/>
    <w:rsid w:val="005856AF"/>
    <w:rsid w:val="005D7FB4"/>
    <w:rsid w:val="00601BEC"/>
    <w:rsid w:val="00605957"/>
    <w:rsid w:val="00616CFF"/>
    <w:rsid w:val="00621D48"/>
    <w:rsid w:val="00646CB9"/>
    <w:rsid w:val="00647EA5"/>
    <w:rsid w:val="00695797"/>
    <w:rsid w:val="006B2036"/>
    <w:rsid w:val="006E0BE2"/>
    <w:rsid w:val="00754F22"/>
    <w:rsid w:val="007671FA"/>
    <w:rsid w:val="007713B4"/>
    <w:rsid w:val="007847FA"/>
    <w:rsid w:val="0079466B"/>
    <w:rsid w:val="007B565D"/>
    <w:rsid w:val="007D40C1"/>
    <w:rsid w:val="0086764D"/>
    <w:rsid w:val="008B317A"/>
    <w:rsid w:val="008D55EB"/>
    <w:rsid w:val="008D6955"/>
    <w:rsid w:val="008E54C4"/>
    <w:rsid w:val="009269AB"/>
    <w:rsid w:val="009340FA"/>
    <w:rsid w:val="0094526F"/>
    <w:rsid w:val="00952B7F"/>
    <w:rsid w:val="00995BB6"/>
    <w:rsid w:val="009A1FE5"/>
    <w:rsid w:val="009A5AE0"/>
    <w:rsid w:val="009B414E"/>
    <w:rsid w:val="009B55D9"/>
    <w:rsid w:val="009B6469"/>
    <w:rsid w:val="009C1FF1"/>
    <w:rsid w:val="009C7E9D"/>
    <w:rsid w:val="00A1107A"/>
    <w:rsid w:val="00A36669"/>
    <w:rsid w:val="00A41FB0"/>
    <w:rsid w:val="00A44161"/>
    <w:rsid w:val="00A46EFE"/>
    <w:rsid w:val="00A47E44"/>
    <w:rsid w:val="00A642B3"/>
    <w:rsid w:val="00A75138"/>
    <w:rsid w:val="00AA260E"/>
    <w:rsid w:val="00AD3080"/>
    <w:rsid w:val="00AF6ADA"/>
    <w:rsid w:val="00B04F6E"/>
    <w:rsid w:val="00B316DF"/>
    <w:rsid w:val="00B73FBD"/>
    <w:rsid w:val="00B80B5E"/>
    <w:rsid w:val="00B85490"/>
    <w:rsid w:val="00B93404"/>
    <w:rsid w:val="00BD13EE"/>
    <w:rsid w:val="00C3564E"/>
    <w:rsid w:val="00C8533C"/>
    <w:rsid w:val="00C92767"/>
    <w:rsid w:val="00C963E6"/>
    <w:rsid w:val="00CE32AA"/>
    <w:rsid w:val="00CF196F"/>
    <w:rsid w:val="00CF2C9B"/>
    <w:rsid w:val="00D00613"/>
    <w:rsid w:val="00D21AA8"/>
    <w:rsid w:val="00D36D1C"/>
    <w:rsid w:val="00D834C2"/>
    <w:rsid w:val="00D83F2E"/>
    <w:rsid w:val="00DA1D20"/>
    <w:rsid w:val="00DB259F"/>
    <w:rsid w:val="00DB4EAB"/>
    <w:rsid w:val="00DD2E38"/>
    <w:rsid w:val="00DE31D0"/>
    <w:rsid w:val="00DF37F3"/>
    <w:rsid w:val="00E157F6"/>
    <w:rsid w:val="00E852AC"/>
    <w:rsid w:val="00EB1F2C"/>
    <w:rsid w:val="00EB4333"/>
    <w:rsid w:val="00ED42F6"/>
    <w:rsid w:val="00EE422C"/>
    <w:rsid w:val="00EF72BA"/>
    <w:rsid w:val="00F43E9A"/>
    <w:rsid w:val="00F73A99"/>
    <w:rsid w:val="00F84DAF"/>
    <w:rsid w:val="00FD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27E20F6-7651-4E93-87D0-7031E41B5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uk-UA"/>
    </w:rPr>
  </w:style>
  <w:style w:type="paragraph" w:styleId="1">
    <w:name w:val="heading 1"/>
    <w:basedOn w:val="a"/>
    <w:link w:val="10"/>
    <w:uiPriority w:val="9"/>
    <w:qFormat/>
    <w:rsid w:val="00B04F6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paragraph" w:styleId="a3">
    <w:name w:val="Normal (Web)"/>
    <w:basedOn w:val="a"/>
    <w:uiPriority w:val="99"/>
    <w:rsid w:val="00DF37F3"/>
    <w:pPr>
      <w:spacing w:before="100" w:beforeAutospacing="1" w:after="100" w:afterAutospacing="1"/>
    </w:pPr>
    <w:rPr>
      <w:lang w:val="ru-RU"/>
    </w:rPr>
  </w:style>
  <w:style w:type="character" w:styleId="a4">
    <w:name w:val="Strong"/>
    <w:uiPriority w:val="22"/>
    <w:qFormat/>
    <w:rsid w:val="00B73FBD"/>
    <w:rPr>
      <w:rFonts w:cs="Times New Roman"/>
      <w:b/>
      <w:bCs/>
    </w:rPr>
  </w:style>
  <w:style w:type="table" w:styleId="a5">
    <w:name w:val="Table Grid"/>
    <w:basedOn w:val="a1"/>
    <w:uiPriority w:val="59"/>
    <w:rsid w:val="00DB25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uiPriority w:val="20"/>
    <w:qFormat/>
    <w:rsid w:val="00B04F6E"/>
    <w:rPr>
      <w:rFonts w:cs="Times New Roman"/>
      <w:i/>
      <w:iCs/>
    </w:rPr>
  </w:style>
  <w:style w:type="paragraph" w:styleId="a7">
    <w:name w:val="footer"/>
    <w:basedOn w:val="a"/>
    <w:link w:val="a8"/>
    <w:uiPriority w:val="99"/>
    <w:rsid w:val="0039665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Pr>
      <w:sz w:val="24"/>
      <w:szCs w:val="24"/>
      <w:lang w:val="uk-UA"/>
    </w:rPr>
  </w:style>
  <w:style w:type="character" w:styleId="a9">
    <w:name w:val="page number"/>
    <w:uiPriority w:val="99"/>
    <w:rsid w:val="0039665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23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3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3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3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3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3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3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3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3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1924</Words>
  <Characters>10972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HOUSE</Company>
  <LinksUpToDate>false</LinksUpToDate>
  <CharactersWithSpaces>12871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EVGENIA</dc:creator>
  <cp:keywords/>
  <dc:description/>
  <cp:lastModifiedBy>admin</cp:lastModifiedBy>
  <cp:revision>2</cp:revision>
  <dcterms:created xsi:type="dcterms:W3CDTF">2014-02-23T08:17:00Z</dcterms:created>
  <dcterms:modified xsi:type="dcterms:W3CDTF">2014-02-23T08:17:00Z</dcterms:modified>
</cp:coreProperties>
</file>