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5E5" w:rsidRPr="00AE520D" w:rsidRDefault="00A025E5" w:rsidP="00A025E5">
      <w:pPr>
        <w:spacing w:before="120" w:line="240" w:lineRule="auto"/>
        <w:ind w:left="420" w:firstLine="0"/>
        <w:jc w:val="center"/>
        <w:rPr>
          <w:b/>
          <w:bCs/>
          <w:sz w:val="32"/>
          <w:szCs w:val="32"/>
        </w:rPr>
      </w:pPr>
      <w:r w:rsidRPr="00AE520D">
        <w:rPr>
          <w:b/>
          <w:bCs/>
          <w:sz w:val="32"/>
          <w:szCs w:val="32"/>
        </w:rPr>
        <w:t>Оценка радиационной и химической обстановки</w:t>
      </w:r>
    </w:p>
    <w:p w:rsidR="00A025E5" w:rsidRPr="00AE520D" w:rsidRDefault="00A025E5" w:rsidP="00A025E5">
      <w:pPr>
        <w:spacing w:before="120" w:line="240" w:lineRule="auto"/>
        <w:ind w:left="420" w:firstLine="567"/>
      </w:pPr>
      <w:r w:rsidRPr="00AE520D">
        <w:t>Индивидуальное задание по курсу: "Безопасность жизнедеятельности»</w:t>
      </w:r>
    </w:p>
    <w:p w:rsidR="00A025E5" w:rsidRPr="00AE520D" w:rsidRDefault="00A025E5" w:rsidP="00A025E5">
      <w:pPr>
        <w:spacing w:before="120" w:line="240" w:lineRule="auto"/>
        <w:ind w:left="420" w:firstLine="567"/>
      </w:pPr>
      <w:r w:rsidRPr="00AE520D">
        <w:t xml:space="preserve">Выполнил: </w:t>
      </w:r>
    </w:p>
    <w:p w:rsidR="00A025E5" w:rsidRPr="00AE520D" w:rsidRDefault="00A025E5" w:rsidP="00A025E5">
      <w:pPr>
        <w:spacing w:before="120" w:line="240" w:lineRule="auto"/>
        <w:ind w:left="420" w:firstLine="567"/>
      </w:pPr>
      <w:r w:rsidRPr="00AE520D">
        <w:t>Таганрогский Государственный Радиотехнический Университет</w:t>
      </w:r>
    </w:p>
    <w:p w:rsidR="00A025E5" w:rsidRPr="00AE520D" w:rsidRDefault="00A025E5" w:rsidP="00A025E5">
      <w:pPr>
        <w:spacing w:before="120" w:line="240" w:lineRule="auto"/>
        <w:ind w:left="420" w:firstLine="567"/>
      </w:pPr>
      <w:r w:rsidRPr="00AE520D">
        <w:t>Кафедра психологии и безопасности жизнедеятельности</w:t>
      </w:r>
    </w:p>
    <w:p w:rsidR="00A025E5" w:rsidRPr="00AE520D" w:rsidRDefault="00A025E5" w:rsidP="00A025E5">
      <w:pPr>
        <w:spacing w:before="120" w:line="240" w:lineRule="auto"/>
        <w:ind w:left="420" w:firstLine="567"/>
      </w:pPr>
      <w:r w:rsidRPr="00AE520D">
        <w:t>Таганрог 2000 г.</w:t>
      </w:r>
    </w:p>
    <w:p w:rsidR="00A025E5" w:rsidRPr="00AE520D" w:rsidRDefault="00A025E5" w:rsidP="00A025E5">
      <w:pPr>
        <w:spacing w:before="120" w:line="240" w:lineRule="auto"/>
        <w:ind w:left="420" w:firstLine="0"/>
        <w:jc w:val="center"/>
        <w:rPr>
          <w:b/>
          <w:bCs/>
        </w:rPr>
      </w:pPr>
      <w:r w:rsidRPr="00AE520D">
        <w:rPr>
          <w:b/>
          <w:bCs/>
        </w:rPr>
        <w:t xml:space="preserve">Введение 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На всех этапах развития человек постоянно стремился к обеспечению личной безопасности и сохранению своего здоровья. Это стремление было мотивацией многих его действий и поступков. Создание надежного жилища не что иное, как стремление обеспечить себя и семью защитой от естественных опасных (молнии, осадки, животные и т.п.) и вредных (понижение и повышение температуры, солнечная радиация и т.п.) факторов. Но появление жилища грозило его обрушением, внесение в него огня – отравлением при задымлении, ожогами, пожарами.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Наличие в современных квартирах многочисленных бытовых приборов и устройств существенно облегчает быт, делает его комфортным и эстетичным, но одновременно и вводит в него целый комплекс опасных и вредных факторов: электрический ток, электромагнитные поля, повышенный уровень радиации, шумы, вибрации, токсичные вещества и т.п.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Отсюда следует, что необходима организация надежной защиты населения и народного хозяйства на всей территории страны и четкая организация системы оповещения. Население же должно быть в достаточной степени подготовлено к умелым действиям по соответствующим сигналам. Также очевидно, что должны быть силы и средства, которые обеспечивали бы ликвидацию последствий стихийных бедствий, катастроф, аварий или применения оружия. Для этих целей предназначена система гражданской обороны.</w:t>
      </w:r>
    </w:p>
    <w:p w:rsidR="00A025E5" w:rsidRPr="00AE520D" w:rsidRDefault="00A025E5" w:rsidP="00A025E5">
      <w:pPr>
        <w:spacing w:before="120" w:line="240" w:lineRule="auto"/>
        <w:ind w:left="420" w:firstLine="0"/>
        <w:jc w:val="center"/>
        <w:rPr>
          <w:b/>
          <w:bCs/>
        </w:rPr>
      </w:pPr>
      <w:r w:rsidRPr="00AE520D">
        <w:rPr>
          <w:b/>
          <w:bCs/>
        </w:rPr>
        <w:t xml:space="preserve">Оценка радиационной обстановки 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После применения ядерного боеприпаса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 xml:space="preserve">Исходные данные: 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Время ядерного взрыва боезапаса в 0 часов. Через 7 часов после ядерного взрыва доклад дозиметра: ”Наблюдается радиоактивность. Мощность дозы 26 рад/ч”.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Время обнаружения радиоактивности является временем начала спада мощности дозы и временем начала облучения (tно)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1.1.1.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Эталонная мощность дозы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P1=Pt t1,2,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 xml:space="preserve">P1=26*71,2=268,59 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1.1.2. Для удобства нарисуем таблицу зависимости Pt=P1t-1.2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Таблица 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6"/>
      </w:tblGrid>
      <w:tr w:rsidR="00A025E5" w:rsidRPr="00030090">
        <w:tc>
          <w:tcPr>
            <w:tcW w:w="333" w:type="pct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t</w:t>
            </w:r>
          </w:p>
        </w:tc>
        <w:tc>
          <w:tcPr>
            <w:tcW w:w="333" w:type="pct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1</w:t>
            </w:r>
          </w:p>
        </w:tc>
        <w:tc>
          <w:tcPr>
            <w:tcW w:w="333" w:type="pct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2</w:t>
            </w:r>
          </w:p>
        </w:tc>
        <w:tc>
          <w:tcPr>
            <w:tcW w:w="333" w:type="pct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6</w:t>
            </w:r>
          </w:p>
        </w:tc>
        <w:tc>
          <w:tcPr>
            <w:tcW w:w="333" w:type="pct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12</w:t>
            </w:r>
          </w:p>
        </w:tc>
        <w:tc>
          <w:tcPr>
            <w:tcW w:w="333" w:type="pct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18</w:t>
            </w:r>
          </w:p>
        </w:tc>
        <w:tc>
          <w:tcPr>
            <w:tcW w:w="333" w:type="pct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24</w:t>
            </w:r>
          </w:p>
        </w:tc>
        <w:tc>
          <w:tcPr>
            <w:tcW w:w="333" w:type="pct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30</w:t>
            </w:r>
          </w:p>
        </w:tc>
        <w:tc>
          <w:tcPr>
            <w:tcW w:w="333" w:type="pct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36</w:t>
            </w:r>
          </w:p>
        </w:tc>
        <w:tc>
          <w:tcPr>
            <w:tcW w:w="333" w:type="pct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42</w:t>
            </w:r>
          </w:p>
        </w:tc>
        <w:tc>
          <w:tcPr>
            <w:tcW w:w="333" w:type="pct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48</w:t>
            </w:r>
          </w:p>
        </w:tc>
        <w:tc>
          <w:tcPr>
            <w:tcW w:w="333" w:type="pct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60</w:t>
            </w:r>
          </w:p>
        </w:tc>
        <w:tc>
          <w:tcPr>
            <w:tcW w:w="333" w:type="pct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72</w:t>
            </w:r>
          </w:p>
        </w:tc>
        <w:tc>
          <w:tcPr>
            <w:tcW w:w="333" w:type="pct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84</w:t>
            </w:r>
          </w:p>
        </w:tc>
        <w:tc>
          <w:tcPr>
            <w:tcW w:w="333" w:type="pct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96</w:t>
            </w:r>
          </w:p>
        </w:tc>
      </w:tr>
      <w:tr w:rsidR="00A025E5" w:rsidRPr="00030090">
        <w:trPr>
          <w:cantSplit/>
          <w:trHeight w:val="1102"/>
        </w:trPr>
        <w:tc>
          <w:tcPr>
            <w:tcW w:w="333" w:type="pct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Pt</w:t>
            </w:r>
          </w:p>
        </w:tc>
        <w:tc>
          <w:tcPr>
            <w:tcW w:w="333" w:type="pct"/>
            <w:textDirection w:val="btLr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268.59</w:t>
            </w:r>
          </w:p>
        </w:tc>
        <w:tc>
          <w:tcPr>
            <w:tcW w:w="333" w:type="pct"/>
            <w:textDirection w:val="btLr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116.911</w:t>
            </w:r>
          </w:p>
        </w:tc>
        <w:tc>
          <w:tcPr>
            <w:tcW w:w="333" w:type="pct"/>
            <w:textDirection w:val="btLr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31.283</w:t>
            </w:r>
          </w:p>
        </w:tc>
        <w:tc>
          <w:tcPr>
            <w:tcW w:w="333" w:type="pct"/>
            <w:textDirection w:val="btLr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13.617</w:t>
            </w:r>
          </w:p>
        </w:tc>
        <w:tc>
          <w:tcPr>
            <w:tcW w:w="333" w:type="pct"/>
            <w:textDirection w:val="btLr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8.137</w:t>
            </w:r>
          </w:p>
        </w:tc>
        <w:tc>
          <w:tcPr>
            <w:tcW w:w="333" w:type="pct"/>
            <w:textDirection w:val="btLr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5.927</w:t>
            </w:r>
          </w:p>
        </w:tc>
        <w:tc>
          <w:tcPr>
            <w:tcW w:w="333" w:type="pct"/>
            <w:textDirection w:val="btLr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4.535</w:t>
            </w:r>
          </w:p>
        </w:tc>
        <w:tc>
          <w:tcPr>
            <w:tcW w:w="333" w:type="pct"/>
            <w:textDirection w:val="btLr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3.644</w:t>
            </w:r>
          </w:p>
        </w:tc>
        <w:tc>
          <w:tcPr>
            <w:tcW w:w="333" w:type="pct"/>
            <w:textDirection w:val="btLr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3.028</w:t>
            </w:r>
          </w:p>
        </w:tc>
        <w:tc>
          <w:tcPr>
            <w:tcW w:w="333" w:type="pct"/>
            <w:textDirection w:val="btLr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2.58</w:t>
            </w:r>
          </w:p>
        </w:tc>
        <w:tc>
          <w:tcPr>
            <w:tcW w:w="333" w:type="pct"/>
            <w:textDirection w:val="btLr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1.974</w:t>
            </w:r>
          </w:p>
        </w:tc>
        <w:tc>
          <w:tcPr>
            <w:tcW w:w="333" w:type="pct"/>
            <w:textDirection w:val="btLr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1.586</w:t>
            </w:r>
          </w:p>
        </w:tc>
        <w:tc>
          <w:tcPr>
            <w:tcW w:w="333" w:type="pct"/>
            <w:textDirection w:val="btLr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1.318</w:t>
            </w:r>
          </w:p>
        </w:tc>
        <w:tc>
          <w:tcPr>
            <w:tcW w:w="333" w:type="pct"/>
            <w:textDirection w:val="btLr"/>
          </w:tcPr>
          <w:p w:rsidR="00A025E5" w:rsidRPr="00030090" w:rsidRDefault="00A025E5" w:rsidP="00DF0727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1.123</w:t>
            </w:r>
          </w:p>
        </w:tc>
      </w:tr>
    </w:tbl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lastRenderedPageBreak/>
        <w:t xml:space="preserve">Построим зоны заражения в соответствии с рис.1 </w:t>
      </w:r>
    </w:p>
    <w:p w:rsidR="00A025E5" w:rsidRDefault="008A1847" w:rsidP="00A025E5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noProof/>
        </w:rPr>
        <w:pict>
          <v:rect id="_x0000_s1026" style="position:absolute;left:0;text-align:left;margin-left:204.5pt;margin-top:175.8pt;width:12.5pt;height:10.85pt;z-index:251658752" o:allowincell="f" filled="f" stroked="f">
            <v:textbox style="mso-rotate-with-shape:t" inset="0,0,0,0">
              <w:txbxContent>
                <w:p w:rsidR="00A025E5" w:rsidRDefault="00A025E5" w:rsidP="00A025E5"/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187.4pt;margin-top:167.7pt;width:12.5pt;height:10.85pt;z-index:251657728" o:allowincell="f" filled="f" stroked="f">
            <v:textbox style="mso-rotate-with-shape:t" inset="0,0,0,0">
              <w:txbxContent>
                <w:p w:rsidR="00A025E5" w:rsidRDefault="00A025E5" w:rsidP="00A025E5"/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180pt;margin-top:156.85pt;width:12.5pt;height:10.85pt;z-index:251656704" o:allowincell="f" filled="f" stroked="f">
            <v:textbox style="mso-rotate-with-shape:t" inset="0,0,0,0">
              <w:txbxContent>
                <w:p w:rsidR="00A025E5" w:rsidRDefault="00A025E5" w:rsidP="00A025E5"/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173.95pt;margin-top:146.9pt;width:12.5pt;height:10.85pt;z-index:251655680" o:allowincell="f" filled="f" stroked="f">
            <v:textbox style="mso-rotate-with-shape:t" inset="0,0,0,0">
              <w:txbxContent>
                <w:p w:rsidR="00A025E5" w:rsidRDefault="00A025E5" w:rsidP="00A025E5"/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286.8pt;margin-top:115.25pt;width:7.85pt;height:10.85pt;z-index:251654656" o:allowincell="f" filled="f" stroked="f">
            <v:textbox style="mso-rotate-with-shape:t" inset="0,0,0,0">
              <w:txbxContent>
                <w:p w:rsidR="00A025E5" w:rsidRDefault="00A025E5" w:rsidP="00A025E5">
                  <w:r>
                    <w:rPr>
                      <w:color w:val="000000"/>
                      <w:sz w:val="14"/>
                      <w:szCs w:val="14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251.2pt;margin-top:113.9pt;width:6.95pt;height:10.85pt;z-index:251653632" o:allowincell="f" filled="f" stroked="f">
            <v:textbox style="mso-rotate-with-shape:t" inset="0,0,0,0">
              <w:txbxContent>
                <w:p w:rsidR="00A025E5" w:rsidRDefault="00A025E5" w:rsidP="00A025E5">
                  <w:r>
                    <w:rPr>
                      <w:color w:val="000000"/>
                      <w:sz w:val="14"/>
                      <w:szCs w:val="14"/>
                    </w:rPr>
                    <w:t>Б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left:0;text-align:left;margin-left:214.65pt;margin-top:113.45pt;width:7.4pt;height:10.85pt;z-index:251652608" o:allowincell="f" filled="f" stroked="f">
            <v:textbox style="mso-rotate-with-shape:t" inset="0,0,0,0">
              <w:txbxContent>
                <w:p w:rsidR="00A025E5" w:rsidRDefault="00A025E5" w:rsidP="00A025E5">
                  <w:r>
                    <w:rPr>
                      <w:color w:val="000000"/>
                      <w:sz w:val="14"/>
                      <w:szCs w:val="14"/>
                    </w:rPr>
                    <w:t>В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left:0;text-align:left;margin-left:177.65pt;margin-top:113.45pt;width:6.95pt;height:10.85pt;z-index:251651584" o:allowincell="f" filled="f" stroked="f">
            <v:textbox style="mso-rotate-with-shape:t" inset="0,0,0,0">
              <w:txbxContent>
                <w:p w:rsidR="00A025E5" w:rsidRDefault="00A025E5" w:rsidP="00A025E5">
                  <w:r>
                    <w:rPr>
                      <w:color w:val="000000"/>
                      <w:sz w:val="14"/>
                      <w:szCs w:val="14"/>
                    </w:rPr>
                    <w:t>Г</w:t>
                  </w:r>
                </w:p>
              </w:txbxContent>
            </v:textbox>
          </v:rect>
        </w:pict>
      </w:r>
      <w:r>
        <w:rPr>
          <w:noProof/>
        </w:rPr>
        <w:pict>
          <v:polyline id="_x0000_s1034" style="position:absolute;left:0;text-align:left;z-index:251650560;mso-position-horizontal-relative:text;mso-position-vertical-relative:text" points="163.35pt,123pt,163.8pt,118.9pt,166.55pt,114.4pt,170.75pt,110.35pt,175.8pt,106.7pt,182.75pt,103.1pt,190.6pt,100.4pt,199.85pt,98.15pt,209.1pt,96.75pt,219.3pt,96.3pt,229.45pt,96.3pt,239.2pt,96.75pt,248.9pt,98.15pt,257.7pt,100.4pt,265.55pt,103.1pt,272.5pt,106.7pt,278.05pt,110.35pt,281.75pt,114.4pt,284.5pt,118.9pt,285.45pt,123pt,284.5pt,127.5pt,281.75pt,132pt,278.05pt,136.1pt,272.5pt,139.7pt,265.55pt,143.3pt,257.7pt,146pt,248.9pt,147.85pt,239.2pt,149.65pt,229.45pt,150.1pt,219.3pt,150.1pt,209.1pt,149.65pt,199.85pt,147.85pt,190.6pt,146pt,182.75pt,143.3pt,175.8pt,139.7pt,170.75pt,136.1pt,166.55pt,132pt,163.8pt,127.5pt,163.35pt,123pt" coordsize="2442,1076" o:allowincell="f" filled="f" strokeweight=".45pt">
            <v:path arrowok="t"/>
          </v:polyline>
        </w:pict>
      </w:r>
      <w:r>
        <w:rPr>
          <w:noProof/>
        </w:rPr>
        <w:pict>
          <v:polyline id="_x0000_s1035" style="position:absolute;left:0;text-align:left;z-index:251649536;mso-position-horizontal-relative:text;mso-position-vertical-relative:text" points="163.35pt,121.6pt,163.8pt,117.55pt,166.55pt,113.5pt,170.75pt,109.4pt,176.75pt,105.8pt,183.7pt,102.65pt,192.45pt,99.5pt,202.2pt,97.2pt,212.35pt,95.4pt,223.45pt,94.05pt,235pt,93.6pt,246.6pt,93.6pt,258.15pt,94.05pt,269.25pt,95.4pt,279.9pt,97.2pt,289.15pt,99.5pt,297.9pt,102.65pt,304.85pt,105.8pt,310.85pt,109.4pt,315.05pt,113.5pt,317.8pt,117.55pt,318.75pt,121.6pt,317.8pt,126.15pt,315.05pt,130.2pt,310.85pt,134.25pt,304.85pt,137.9pt,297.9pt,141.05pt,289.15pt,144.2pt,279.9pt,146.45pt,269.25pt,148.3pt,258.15pt,149.65pt,246.6pt,150.1pt,235pt,150.1pt,223.45pt,149.65pt,212.35pt,148.3pt,202.2pt,146.45pt,192.45pt,144.2pt,183.7pt,141.05pt,176.75pt,137.9pt,170.75pt,134.25pt,166.55pt,130.2pt,163.8pt,126.15pt,163.35pt,121.6pt" coordsize="3108,1130" o:allowincell="f" filled="f" strokeweight=".45pt">
            <v:path arrowok="t"/>
          </v:polyline>
        </w:pict>
      </w:r>
      <w:r>
        <w:rPr>
          <w:noProof/>
        </w:rPr>
        <w:pict>
          <v:polyline id="_x0000_s1036" style="position:absolute;left:0;text-align:left;z-index:251648512;mso-position-horizontal-relative:text;mso-position-vertical-relative:text" points="163.35pt,120.25pt,164.25pt,116.65pt,166.55pt,112.6pt,171.2pt,109.4pt,176.75pt,106.25pt,184.15pt,104pt,192pt,102.2pt,200.35pt,101.75pt,209.1pt,101.75pt,217.45pt,102.2pt,225.75pt,104pt,232.7pt,106.25pt,238.25pt,109.4pt,242.9pt,112.6pt,245.65pt,116.65pt,246.6pt,120.25pt,245.65pt,124.35pt,242.9pt,128.4pt,238.25pt,131.55pt,232.7pt,134.75pt,225.75pt,137pt,217.45pt,138.35pt,209.1pt,139.25pt,200.35pt,139.25pt,192pt,138.35pt,184.15pt,137pt,176.75pt,134.75pt,171.2pt,131.55pt,166.55pt,128.4pt,164.25pt,124.35pt,163.35pt,120.25pt" coordsize="1665,750" o:allowincell="f" filled="f" strokeweight=".45pt">
            <v:path arrowok="t"/>
          </v:polyline>
        </w:pict>
      </w:r>
      <w:r w:rsidR="00A025E5">
        <w:rPr>
          <w:sz w:val="24"/>
          <w:szCs w:val="24"/>
        </w:rPr>
        <w:t xml:space="preserve"> </w:t>
      </w:r>
      <w:r w:rsidR="00A025E5" w:rsidRPr="00030090">
        <w:rPr>
          <w:sz w:val="24"/>
          <w:szCs w:val="24"/>
        </w:rPr>
        <w:t>В нашем случае при P1=268.59 рад/ч мы находимся в зоне опасного заражения «В».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По данным таблицы 1 построим график зависимости мощности дозы от времени.</w:t>
      </w:r>
    </w:p>
    <w:p w:rsidR="00A025E5" w:rsidRPr="00030090" w:rsidRDefault="008A1847" w:rsidP="00A025E5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noProof/>
        </w:rPr>
        <w:pict>
          <v:polyline id="_x0000_s1037" style="position:absolute;left:0;text-align:left;z-index:251647488;mso-position-horizontal-relative:text;mso-position-vertical-relative:text" points="162pt,19.85pt,162.9pt,16.25pt,165.2pt,12.65pt,169.4pt,9.95pt,174.95pt,7.65pt,180.95pt,6.75pt,186.95pt,6.75pt,193.45pt,7.65pt,198.5pt,9.95pt,202.7pt,12.65pt,205.45pt,16.25pt,206.4pt,19.85pt,205.45pt,23.95pt,202.7pt,27.55pt,198.5pt,30.25pt,193.45pt,32.5pt,186.95pt,33.4pt,180.95pt,33.4pt,174.95pt,32.5pt,169.4pt,30.25pt,165.2pt,27.55pt,162.9pt,23.95pt,162pt,19.85pt" coordsize="888,533" o:allowincell="f" filled="f" strokeweight=".45pt">
            <v:path arrowok="t"/>
          </v:polyline>
        </w:pict>
      </w:r>
    </w:p>
    <w:p w:rsidR="00A025E5" w:rsidRDefault="008A1847" w:rsidP="00A025E5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noProof/>
        </w:rPr>
        <w:pict>
          <v:rect id="_x0000_s1038" style="position:absolute;left:0;text-align:left;margin-left:226.8pt;margin-top:4.65pt;width:11.1pt;height:5.45pt;z-index:251659776" o:allowincell="f" fillcolor="black" strokeweight=".45pt">
            <v:fill color2="black"/>
            <v:stroke color2="black"/>
          </v:rect>
        </w:pict>
      </w:r>
    </w:p>
    <w:p w:rsidR="00A025E5" w:rsidRPr="00030090" w:rsidRDefault="008A1847" w:rsidP="00A025E5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-3.6pt;margin-top:-50.5pt;width:435pt;height:188.25pt;z-index:251660800" o:allowincell="f">
            <v:imagedata r:id="rId4" o:title=""/>
            <w10:wrap type="topAndBottom"/>
          </v:shape>
        </w:pic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а) На открытой местности коэффициент защиты Kзащ=1</w:t>
      </w:r>
      <w:r>
        <w:rPr>
          <w:sz w:val="24"/>
          <w:szCs w:val="24"/>
        </w:rPr>
        <w:t xml:space="preserve"> 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Доза радиации, которую получают люди живущие в палатках (на открытой местности)</w:t>
      </w:r>
      <w:r>
        <w:rPr>
          <w:sz w:val="24"/>
          <w:szCs w:val="24"/>
        </w:rPr>
        <w:t xml:space="preserve"> </w:t>
      </w:r>
      <w:r w:rsidR="008A1847">
        <w:rPr>
          <w:sz w:val="24"/>
          <w:szCs w:val="24"/>
        </w:rPr>
        <w:pict>
          <v:shape id="_x0000_i1025" type="#_x0000_t75" style="width:113.25pt;height:40.5pt" fillcolor="window">
            <v:imagedata r:id="rId5" o:title=""/>
          </v:shape>
        </w:pict>
      </w:r>
      <w:r>
        <w:rPr>
          <w:sz w:val="24"/>
          <w:szCs w:val="24"/>
        </w:rPr>
        <w:t xml:space="preserve"> 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 xml:space="preserve">За 4 суток D=358.512 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 xml:space="preserve">За 15 суток D=497.781 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б) Кирпичный одноэтажный дом имеет коэффициент защиты Kзащ=12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Подвал в этом доме имеет Kзащ=50. Тогда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в доме D=31.543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в подвале D=7.57</w:t>
      </w:r>
      <w:r>
        <w:rPr>
          <w:sz w:val="24"/>
          <w:szCs w:val="24"/>
        </w:rPr>
        <w:t xml:space="preserve">  </w:t>
      </w:r>
      <w:r w:rsidRPr="00030090">
        <w:rPr>
          <w:sz w:val="24"/>
          <w:szCs w:val="24"/>
        </w:rPr>
        <w:t xml:space="preserve">Выводы: В случае а) при получении дозы облучения D в течение 4 суток возможно заболевание населения лучевой болезнью 2 степени, при дозе 200…400 рад. Скрытый период продолжается около недели, после чего появляются тяжелое недомогание, расстройство функций нервной системы, головные боли, головокружение, частые рвоты, повышение температуры тела. Количество лейкоцитов в крови уменьшается более чем в два раза. Смертельные исходы могут доходить до 20%. При активном лечении выздоровление наступает через 1,5…2 месяца. 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В случае б) поглощенные дозы Dподвал и Dдом являются умеренными и не влекут за собой серьезного ущерба здоровью. Работоспособность в данной ситуации сохраняется,замедленно время реакции в сложной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обстановке, смертельные случаи единичны.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1.1.4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С 8 до 20 часов Kзащ=1 (открытая местность), а с 20 до 8 часов Kзащ=12 (кирпичный одноэтажный дом).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Доза, которую получат люди за 4 суток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 xml:space="preserve">D=D1+ D2+ D3+ D4+ D5+ D6+ D7+ D8 +D9, где 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D1=1.998 – доза, полученная людьми с 7 до 8 часов,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 xml:space="preserve">D2=148.361 – доза, полученная людьми с 8 до 20 часов, 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D3=5.515 – доза, полученная людьми с 20 до 32 часов,</w:t>
      </w:r>
      <w:r>
        <w:rPr>
          <w:sz w:val="24"/>
          <w:szCs w:val="24"/>
        </w:rPr>
        <w:t xml:space="preserve"> 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D4 =41.433– доза, полученная людьми с 32 до 44 часов,</w:t>
      </w:r>
      <w:r>
        <w:rPr>
          <w:sz w:val="24"/>
          <w:szCs w:val="24"/>
        </w:rPr>
        <w:t xml:space="preserve"> 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D5=2.472 – доза, полученная людьми с 44 до 56 часов,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D6=22.866 – доза, полученная людьми с 56 до 68 часов,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D7=1.539 – доза, полученная людьми с 68 до 80 часов,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D8= 15.410– доза,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полученная людьми с 80 до 92 часов,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D9=4.608 - доза, полученная людьми с 92 до 103 часов.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D=244.204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1.1.5.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Так как местность открытая то Кзащ=1. Доза которую получают люди вышедшие на открытую местность</w:t>
      </w:r>
      <w:r>
        <w:rPr>
          <w:sz w:val="24"/>
          <w:szCs w:val="24"/>
        </w:rPr>
        <w:t xml:space="preserve"> </w:t>
      </w:r>
      <w:r w:rsidR="008A1847">
        <w:rPr>
          <w:sz w:val="24"/>
          <w:szCs w:val="24"/>
        </w:rPr>
        <w:pict>
          <v:shape id="_x0000_i1026" type="#_x0000_t75" style="width:113.25pt;height:40.5pt" fillcolor="window">
            <v:imagedata r:id="rId5" o:title=""/>
          </v:shape>
        </w:pic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tно=t+3=7,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tко= tно+8=15</w:t>
      </w:r>
      <w:r>
        <w:rPr>
          <w:sz w:val="24"/>
          <w:szCs w:val="24"/>
        </w:rPr>
        <w:t xml:space="preserve"> 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D=93.980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1.1.6.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Так как местность открытая то Кзащ=1, D=10 рад (из условия).</w:t>
      </w:r>
    </w:p>
    <w:p w:rsidR="00A025E5" w:rsidRPr="00030090" w:rsidRDefault="008A1847" w:rsidP="00A025E5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27" type="#_x0000_t75" style="width:67.5pt;height:42.75pt" fillcolor="window">
            <v:imagedata r:id="rId6" o:title=""/>
          </v:shape>
        </w:pict>
      </w:r>
      <w:r w:rsidR="00A025E5" w:rsidRPr="00030090">
        <w:rPr>
          <w:sz w:val="24"/>
          <w:szCs w:val="24"/>
        </w:rPr>
        <w:t xml:space="preserve"> </w:t>
      </w:r>
      <w:r w:rsidR="00A025E5" w:rsidRPr="00030090">
        <w:rPr>
          <w:sz w:val="24"/>
          <w:szCs w:val="24"/>
        </w:rPr>
        <w:sym w:font="Symbol" w:char="F061"/>
      </w:r>
      <w:r w:rsidR="00A025E5" w:rsidRPr="00030090">
        <w:rPr>
          <w:sz w:val="24"/>
          <w:szCs w:val="24"/>
        </w:rPr>
        <w:t>=26.859</w:t>
      </w:r>
    </w:p>
    <w:p w:rsidR="00A025E5" w:rsidRPr="00030090" w:rsidRDefault="008A1847" w:rsidP="00A025E5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28" type="#_x0000_t75" style="width:87.75pt;height:39.75pt" fillcolor="window">
            <v:imagedata r:id="rId7" o:title=""/>
          </v:shape>
        </w:pict>
      </w:r>
      <w:r w:rsidR="00A025E5">
        <w:rPr>
          <w:sz w:val="24"/>
          <w:szCs w:val="24"/>
        </w:rPr>
        <w:t xml:space="preserve"> </w:t>
      </w:r>
      <w:r w:rsidR="00A025E5" w:rsidRPr="00030090">
        <w:rPr>
          <w:sz w:val="24"/>
          <w:szCs w:val="24"/>
        </w:rPr>
        <w:t>отсюда</w:t>
      </w:r>
      <w:r w:rsidR="00A025E5">
        <w:rPr>
          <w:sz w:val="24"/>
          <w:szCs w:val="24"/>
        </w:rPr>
        <w:t xml:space="preserve"> </w:t>
      </w:r>
      <w:r w:rsidR="00A025E5" w:rsidRPr="00030090">
        <w:rPr>
          <w:sz w:val="24"/>
          <w:szCs w:val="24"/>
        </w:rPr>
        <w:t>t</w:t>
      </w:r>
      <w:r>
        <w:rPr>
          <w:sz w:val="24"/>
          <w:szCs w:val="24"/>
        </w:rPr>
        <w:pict>
          <v:shape id="_x0000_i1029" type="#_x0000_t75" style="width:18pt;height:18.75pt" fillcolor="window">
            <v:imagedata r:id="rId8" o:title=""/>
          </v:shape>
        </w:pict>
      </w:r>
      <w:r w:rsidR="00A025E5" w:rsidRPr="00030090">
        <w:rPr>
          <w:sz w:val="24"/>
          <w:szCs w:val="24"/>
        </w:rPr>
        <w:t>-t</w:t>
      </w:r>
      <w:r>
        <w:rPr>
          <w:sz w:val="24"/>
          <w:szCs w:val="24"/>
        </w:rPr>
        <w:pict>
          <v:shape id="_x0000_i1030" type="#_x0000_t75" style="width:26.25pt;height:18.75pt" fillcolor="window">
            <v:imagedata r:id="rId9" o:title=""/>
          </v:shape>
        </w:pict>
      </w:r>
      <w:r>
        <w:rPr>
          <w:sz w:val="24"/>
          <w:szCs w:val="24"/>
        </w:rPr>
        <w:pict>
          <v:shape id="_x0000_i1031" type="#_x0000_t75" style="width:30pt;height:30.75pt" fillcolor="window">
            <v:imagedata r:id="rId10" o:title=""/>
          </v:shape>
        </w:pict>
      </w:r>
      <w:r w:rsidR="00A025E5" w:rsidRPr="00030090">
        <w:rPr>
          <w:sz w:val="24"/>
          <w:szCs w:val="24"/>
        </w:rPr>
        <w:t>7.433</w:t>
      </w:r>
      <w:r w:rsidR="00A025E5" w:rsidRPr="00030090">
        <w:rPr>
          <w:sz w:val="24"/>
          <w:szCs w:val="24"/>
        </w:rPr>
        <w:sym w:font="Symbol" w:char="F0D7"/>
      </w:r>
      <w:r w:rsidR="00A025E5" w:rsidRPr="00030090">
        <w:rPr>
          <w:sz w:val="24"/>
          <w:szCs w:val="24"/>
        </w:rPr>
        <w:t>10-3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Подставим значение tко получим</w:t>
      </w:r>
      <w:r>
        <w:rPr>
          <w:sz w:val="24"/>
          <w:szCs w:val="24"/>
        </w:rPr>
        <w:t xml:space="preserve"> </w:t>
      </w:r>
      <w:r w:rsidR="008A1847">
        <w:rPr>
          <w:sz w:val="24"/>
          <w:szCs w:val="24"/>
        </w:rPr>
        <w:pict>
          <v:shape id="_x0000_i1032" type="#_x0000_t75" style="width:117pt;height:30pt" fillcolor="window">
            <v:imagedata r:id="rId11" o:title=""/>
          </v:shape>
        </w:pict>
      </w:r>
      <w:r w:rsidRPr="00030090">
        <w:rPr>
          <w:sz w:val="24"/>
          <w:szCs w:val="24"/>
        </w:rPr>
        <w:t>7.433</w:t>
      </w:r>
      <w:r w:rsidRPr="00030090">
        <w:rPr>
          <w:sz w:val="24"/>
          <w:szCs w:val="24"/>
        </w:rPr>
        <w:sym w:font="Symbol" w:char="F0D7"/>
      </w:r>
      <w:r w:rsidRPr="00030090">
        <w:rPr>
          <w:sz w:val="24"/>
          <w:szCs w:val="24"/>
        </w:rPr>
        <w:t>10-3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Решая уравнение получим tно=84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1.1.7. Доза D=6 (из условия), tно=7 ч, tко=247 ч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 xml:space="preserve">Доза радиации которую могут получить люди </w:t>
      </w:r>
      <w:r w:rsidR="008A1847">
        <w:rPr>
          <w:sz w:val="24"/>
          <w:szCs w:val="24"/>
        </w:rPr>
        <w:pict>
          <v:shape id="_x0000_i1033" type="#_x0000_t75" style="width:113.25pt;height:40.5pt" fillcolor="window">
            <v:imagedata r:id="rId5" o:title=""/>
          </v:shape>
        </w:pict>
      </w:r>
      <w:r w:rsidRPr="00030090">
        <w:rPr>
          <w:sz w:val="24"/>
          <w:szCs w:val="24"/>
        </w:rPr>
        <w:t>.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 xml:space="preserve">Отсюда </w:t>
      </w:r>
      <w:r w:rsidR="008A1847">
        <w:rPr>
          <w:sz w:val="24"/>
          <w:szCs w:val="24"/>
        </w:rPr>
        <w:pict>
          <v:shape id="_x0000_i1034" type="#_x0000_t75" style="width:132pt;height:36pt" fillcolor="window">
            <v:imagedata r:id="rId12" o:title=""/>
          </v:shape>
        </w:pic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Kзащ=77.301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1.1.8.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Мероприятия необходимые для уменьшения воздействия РВ - это главным образом эвакуация, медицинская защита и укрытие населения в защитных сооружениях.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Медицинская защита населения имеет цель предупредить или ослабить поражающее воздействие на них ионизирующих излучений и отравляющих (ядовитых) веществ путем проведения профилактических мероприятий с применением медицинских средств защиты. К медицинским средствам защиты относятся радиозащитные препараты, антидоты, антибиотики, вакцины, сыворотки и др.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Укрытие населения в защитных сооружениях – надежный способ защиты от всех поражающих факторов. Систему защитных сооружений составляют убежища, противорадиационные укрытия (ПРУ), метрополитены и т.п.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С водой РВ в организм попадают в малых количествах (крупные частицы быстро оседают на дно водоема, из которого приходится производить забор воды) и не вызывают острых лучевых поражений с потерей трудоспособности людей или продуктивности животных.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Внутренние поражения происходят главным образом при попадании РВ с пищей и кормом. Всасывающиеся радиоактивные продукты распределяются в организме крайне неравномерно. Особенно много концентрируется их в щитовидной железе и печени. Эти органы подвергаются облучению очень большими дозами, приводящему либо к разрушению ткани, либо к развитию опухолей.</w:t>
      </w:r>
      <w:r>
        <w:rPr>
          <w:sz w:val="24"/>
          <w:szCs w:val="24"/>
        </w:rPr>
        <w:t xml:space="preserve">  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После аварии на АЭС с выбросом РВ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 xml:space="preserve">Исходные данные: 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10.08.99 года в 0 часов произошла авария на АЭС. Через 4 часа после аварии на открытой местности наблюдается мощность дозы P4=0,5 рад/ч.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1.2.1.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P1=P4t0.4.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Для удобства нарисуем таблицу зависимости Pt=P1t-0.4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Таблица 2.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A025E5" w:rsidRPr="00030090">
        <w:tc>
          <w:tcPr>
            <w:tcW w:w="590" w:type="dxa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T</w:t>
            </w:r>
          </w:p>
        </w:tc>
        <w:tc>
          <w:tcPr>
            <w:tcW w:w="590" w:type="dxa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1</w:t>
            </w:r>
          </w:p>
        </w:tc>
        <w:tc>
          <w:tcPr>
            <w:tcW w:w="590" w:type="dxa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2</w:t>
            </w:r>
          </w:p>
        </w:tc>
        <w:tc>
          <w:tcPr>
            <w:tcW w:w="590" w:type="dxa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6</w:t>
            </w:r>
          </w:p>
        </w:tc>
        <w:tc>
          <w:tcPr>
            <w:tcW w:w="590" w:type="dxa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12</w:t>
            </w:r>
          </w:p>
        </w:tc>
        <w:tc>
          <w:tcPr>
            <w:tcW w:w="590" w:type="dxa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18</w:t>
            </w:r>
          </w:p>
        </w:tc>
        <w:tc>
          <w:tcPr>
            <w:tcW w:w="590" w:type="dxa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24</w:t>
            </w:r>
          </w:p>
        </w:tc>
        <w:tc>
          <w:tcPr>
            <w:tcW w:w="590" w:type="dxa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30</w:t>
            </w:r>
          </w:p>
        </w:tc>
        <w:tc>
          <w:tcPr>
            <w:tcW w:w="590" w:type="dxa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36</w:t>
            </w:r>
          </w:p>
        </w:tc>
        <w:tc>
          <w:tcPr>
            <w:tcW w:w="590" w:type="dxa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42</w:t>
            </w:r>
          </w:p>
        </w:tc>
        <w:tc>
          <w:tcPr>
            <w:tcW w:w="590" w:type="dxa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48</w:t>
            </w:r>
          </w:p>
        </w:tc>
        <w:tc>
          <w:tcPr>
            <w:tcW w:w="590" w:type="dxa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60</w:t>
            </w:r>
          </w:p>
        </w:tc>
        <w:tc>
          <w:tcPr>
            <w:tcW w:w="590" w:type="dxa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72</w:t>
            </w:r>
          </w:p>
        </w:tc>
        <w:tc>
          <w:tcPr>
            <w:tcW w:w="590" w:type="dxa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84</w:t>
            </w:r>
          </w:p>
        </w:tc>
        <w:tc>
          <w:tcPr>
            <w:tcW w:w="590" w:type="dxa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96</w:t>
            </w:r>
          </w:p>
        </w:tc>
      </w:tr>
      <w:tr w:rsidR="00A025E5" w:rsidRPr="00030090">
        <w:trPr>
          <w:cantSplit/>
          <w:trHeight w:val="958"/>
        </w:trPr>
        <w:tc>
          <w:tcPr>
            <w:tcW w:w="590" w:type="dxa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</w:p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Pt</w:t>
            </w:r>
          </w:p>
        </w:tc>
        <w:tc>
          <w:tcPr>
            <w:tcW w:w="590" w:type="dxa"/>
            <w:textDirection w:val="btLr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30090">
              <w:rPr>
                <w:sz w:val="24"/>
                <w:szCs w:val="24"/>
              </w:rPr>
              <w:t>1.089</w:t>
            </w:r>
          </w:p>
        </w:tc>
        <w:tc>
          <w:tcPr>
            <w:tcW w:w="590" w:type="dxa"/>
            <w:textDirection w:val="btLr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0.825</w:t>
            </w:r>
          </w:p>
        </w:tc>
        <w:tc>
          <w:tcPr>
            <w:tcW w:w="590" w:type="dxa"/>
            <w:textDirection w:val="btLr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0.532</w:t>
            </w:r>
          </w:p>
        </w:tc>
        <w:tc>
          <w:tcPr>
            <w:tcW w:w="590" w:type="dxa"/>
            <w:textDirection w:val="btLr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0.403</w:t>
            </w:r>
          </w:p>
        </w:tc>
        <w:tc>
          <w:tcPr>
            <w:tcW w:w="590" w:type="dxa"/>
            <w:textDirection w:val="btLr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0.343</w:t>
            </w:r>
          </w:p>
        </w:tc>
        <w:tc>
          <w:tcPr>
            <w:tcW w:w="590" w:type="dxa"/>
            <w:textDirection w:val="btLr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0.305</w:t>
            </w:r>
          </w:p>
        </w:tc>
        <w:tc>
          <w:tcPr>
            <w:tcW w:w="590" w:type="dxa"/>
            <w:textDirection w:val="btLr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 xml:space="preserve"> 0.279</w:t>
            </w:r>
          </w:p>
        </w:tc>
        <w:tc>
          <w:tcPr>
            <w:tcW w:w="590" w:type="dxa"/>
            <w:textDirection w:val="btLr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0.026</w:t>
            </w:r>
          </w:p>
        </w:tc>
        <w:tc>
          <w:tcPr>
            <w:tcW w:w="590" w:type="dxa"/>
            <w:textDirection w:val="btLr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0.244</w:t>
            </w:r>
          </w:p>
        </w:tc>
        <w:tc>
          <w:tcPr>
            <w:tcW w:w="590" w:type="dxa"/>
            <w:textDirection w:val="btLr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0.231</w:t>
            </w:r>
          </w:p>
        </w:tc>
        <w:tc>
          <w:tcPr>
            <w:tcW w:w="590" w:type="dxa"/>
            <w:textDirection w:val="btLr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0.212</w:t>
            </w:r>
          </w:p>
        </w:tc>
        <w:tc>
          <w:tcPr>
            <w:tcW w:w="590" w:type="dxa"/>
            <w:textDirection w:val="btLr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0.197</w:t>
            </w:r>
          </w:p>
        </w:tc>
        <w:tc>
          <w:tcPr>
            <w:tcW w:w="590" w:type="dxa"/>
            <w:textDirection w:val="btLr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0.185</w:t>
            </w:r>
          </w:p>
        </w:tc>
        <w:tc>
          <w:tcPr>
            <w:tcW w:w="590" w:type="dxa"/>
            <w:textDirection w:val="btLr"/>
          </w:tcPr>
          <w:p w:rsidR="00A025E5" w:rsidRPr="00030090" w:rsidRDefault="00A025E5" w:rsidP="00DF0727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030090">
              <w:rPr>
                <w:sz w:val="24"/>
                <w:szCs w:val="24"/>
              </w:rPr>
              <w:t>0.175</w:t>
            </w:r>
          </w:p>
        </w:tc>
      </w:tr>
    </w:tbl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По данным таблицы 2 построим график зависимости мощности дозы от времени.</w:t>
      </w:r>
    </w:p>
    <w:p w:rsidR="00A025E5" w:rsidRPr="00030090" w:rsidRDefault="008A1847" w:rsidP="00A025E5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noProof/>
        </w:rPr>
        <w:pict>
          <v:shape id="_x0000_s1040" type="#_x0000_t75" style="position:absolute;left:0;text-align:left;margin-left:-10.8pt;margin-top:-35.4pt;width:427.5pt;height:188.25pt;z-index:251661824" o:allowincell="f">
            <v:imagedata r:id="rId13" o:title=""/>
            <w10:wrap type="topAndBottom"/>
          </v:shape>
        </w:pic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1.2.2.Эталонный уровень радиации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Pt = P</w:t>
      </w:r>
      <w:r w:rsidR="008A1847">
        <w:rPr>
          <w:sz w:val="24"/>
          <w:szCs w:val="24"/>
        </w:rPr>
        <w:pict>
          <v:shape id="_x0000_i1035" type="#_x0000_t75" style="width:6.75pt;height:17.25pt" fillcolor="window">
            <v:imagedata r:id="rId14" o:title=""/>
          </v:shape>
        </w:pict>
      </w:r>
      <w:r w:rsidRPr="00030090">
        <w:rPr>
          <w:sz w:val="24"/>
          <w:szCs w:val="24"/>
        </w:rPr>
        <w:t>t-0,4</w:t>
      </w:r>
      <w:r>
        <w:rPr>
          <w:sz w:val="24"/>
          <w:szCs w:val="24"/>
        </w:rPr>
        <w:t xml:space="preserve"> 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Мощность дозы будет: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за месяц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Pt=1.089</w:t>
      </w:r>
      <w:r w:rsidRPr="00030090">
        <w:rPr>
          <w:sz w:val="24"/>
          <w:szCs w:val="24"/>
        </w:rPr>
        <w:sym w:font="Symbol" w:char="F0D7"/>
      </w:r>
      <w:r w:rsidRPr="00030090">
        <w:rPr>
          <w:sz w:val="24"/>
          <w:szCs w:val="24"/>
        </w:rPr>
        <w:t>720-0,4=0.078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за 3 месяца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Pt=1.089</w:t>
      </w:r>
      <w:r w:rsidRPr="00030090">
        <w:rPr>
          <w:sz w:val="24"/>
          <w:szCs w:val="24"/>
        </w:rPr>
        <w:sym w:font="Symbol" w:char="F0D7"/>
      </w:r>
      <w:r w:rsidRPr="00030090">
        <w:rPr>
          <w:sz w:val="24"/>
          <w:szCs w:val="24"/>
        </w:rPr>
        <w:t>2160-0,4=0.05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за 6 месяцев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Pt=1.089</w:t>
      </w:r>
      <w:r w:rsidRPr="00030090">
        <w:rPr>
          <w:sz w:val="24"/>
          <w:szCs w:val="24"/>
        </w:rPr>
        <w:sym w:font="Symbol" w:char="F0D7"/>
      </w:r>
      <w:r w:rsidRPr="00030090">
        <w:rPr>
          <w:sz w:val="24"/>
          <w:szCs w:val="24"/>
        </w:rPr>
        <w:t>4390-0,4=0.038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за год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Pt=1.089</w:t>
      </w:r>
      <w:r w:rsidRPr="00030090">
        <w:rPr>
          <w:sz w:val="24"/>
          <w:szCs w:val="24"/>
        </w:rPr>
        <w:sym w:font="Symbol" w:char="F0D7"/>
      </w:r>
      <w:r w:rsidRPr="00030090">
        <w:rPr>
          <w:sz w:val="24"/>
          <w:szCs w:val="24"/>
        </w:rPr>
        <w:t>8760-0,4=0.029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1.2.3.Kзащ1=9 (в помещении), Kзащ2=1 (на открытой местности).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Доза радиации, которую могут получить люди:</w:t>
      </w:r>
    </w:p>
    <w:p w:rsidR="00A025E5" w:rsidRPr="00030090" w:rsidRDefault="008A1847" w:rsidP="00A025E5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36" type="#_x0000_t75" style="width:198.75pt;height:36.75pt" fillcolor="window">
            <v:imagedata r:id="rId15" o:title=""/>
          </v:shape>
        </w:pic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За первые 10 суток доза радиации D=24.737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За месяц доза радиации D=50.289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За 3 месяца доза радиации D=99.904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За год доза радиации D=235.429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1.2.4.Мероприятия, необходимые для уменьшения воздействия РВ - это главным образом медицинская защита и укрытие населения в защитных сооружениях.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 xml:space="preserve">1.2.5.Воду и питание желательно завозить из незараженных областей в специальных противорадиационных контейнерах. 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1.2.6.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Основными правами, задачами городской комиссии и ее составом являются: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Организация работ по ликвидации последствий стихийных бедствий, аварий (катастроф), обеспечения постоянной готовности органов управления и сил для ведения этих работ, а также для осуществления контроля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за разработкой и реализацией мер по предупреждению ЧС.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Для этого создаются Государственная комиссия Кабинетов Министров по ЧС (КЧС) при совминах союзных республик, исполкомах краевых, областных и городских Советов народных депутатов.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Работа КЧС организуется во взаимодействии с органами ГО, МВД, КГБ, военного командования и организациями государственного надзора и контроля. При них создается постоянный рабочий орган на базе штабов и служб ГО.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Решения КЧС во время ЧС являются обязательными для выполнения всеми организациями и предприятиями, расположенными на соответствующей территории.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 xml:space="preserve">Обеспечение всего населения защитными сооружениями, подготовка и проведение рассредоточения и эвакуации населения в случае необходимости, применение медицинских средств защиты и недопущение к употреблению зараженных продовольствия и воды. 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 xml:space="preserve">В состав городской комиссии входят: 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 xml:space="preserve">а) управление по делам гражданской обороны и оперативному управлению (это управление делится на: оперативную группу, группу защиты населения и группу боевой подготовки и обучения), 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б) управление по экологии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в) управление по материально-техническому обеспечению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г) управление по финансам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Оценка химической обстановки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Исходные данные: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Оперативному дежурному штаба ГО и ЧС города поступило сообщение. В 16 часов на железнодорожной станции произошла авария, повлекшая за собой разрушение железнодорожной цистерны, содержащей 29 тонн фтора.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 xml:space="preserve">Данные прогноза погоды: направление ветра “на вас”, облачность 0 баллов, ясно. Скорость ветра </w:t>
      </w:r>
      <w:r w:rsidRPr="00030090">
        <w:rPr>
          <w:sz w:val="24"/>
          <w:szCs w:val="24"/>
        </w:rPr>
        <w:sym w:font="Symbol" w:char="F06E"/>
      </w:r>
      <w:r w:rsidRPr="00030090">
        <w:rPr>
          <w:sz w:val="24"/>
          <w:szCs w:val="24"/>
        </w:rPr>
        <w:t>=1.5 м/с. Вертикальная устойчивость воздуха – конвекция.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2.1.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Эквивалентное количество вещества в первичном облаке</w:t>
      </w:r>
      <w:r>
        <w:rPr>
          <w:sz w:val="24"/>
          <w:szCs w:val="24"/>
        </w:rPr>
        <w:t xml:space="preserve"> 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GЭ1=К1К3К5К7G0 ,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для аммиака К1=0.95, K</w:t>
      </w:r>
      <w:r w:rsidR="008A1847">
        <w:rPr>
          <w:sz w:val="24"/>
          <w:szCs w:val="24"/>
        </w:rPr>
        <w:pict>
          <v:shape id="_x0000_i1037" type="#_x0000_t75" style="width:8.25pt;height:18pt" fillcolor="window">
            <v:imagedata r:id="rId16" o:title=""/>
          </v:shape>
        </w:pict>
      </w:r>
      <w:r w:rsidRPr="00030090">
        <w:rPr>
          <w:sz w:val="24"/>
          <w:szCs w:val="24"/>
        </w:rPr>
        <w:t>=3, K</w:t>
      </w:r>
      <w:r w:rsidR="008A1847">
        <w:rPr>
          <w:sz w:val="24"/>
          <w:szCs w:val="24"/>
        </w:rPr>
        <w:pict>
          <v:shape id="_x0000_i1038" type="#_x0000_t75" style="width:6.75pt;height:18pt" fillcolor="window">
            <v:imagedata r:id="rId17" o:title=""/>
          </v:shape>
        </w:pict>
      </w:r>
      <w:r w:rsidRPr="00030090">
        <w:rPr>
          <w:sz w:val="24"/>
          <w:szCs w:val="24"/>
        </w:rPr>
        <w:t xml:space="preserve"> =0.08, K</w:t>
      </w:r>
      <w:r w:rsidR="008A1847">
        <w:rPr>
          <w:sz w:val="24"/>
          <w:szCs w:val="24"/>
        </w:rPr>
        <w:pict>
          <v:shape id="_x0000_i1039" type="#_x0000_t75" style="width:8.25pt;height:17.25pt" fillcolor="window">
            <v:imagedata r:id="rId18" o:title=""/>
          </v:shape>
        </w:pict>
      </w:r>
      <w:r w:rsidRPr="00030090">
        <w:rPr>
          <w:sz w:val="24"/>
          <w:szCs w:val="24"/>
        </w:rPr>
        <w:t>=1, G</w:t>
      </w:r>
      <w:r w:rsidR="008A1847">
        <w:rPr>
          <w:sz w:val="24"/>
          <w:szCs w:val="24"/>
        </w:rPr>
        <w:pict>
          <v:shape id="_x0000_i1040" type="#_x0000_t75" style="width:9.75pt;height:14.25pt" fillcolor="window">
            <v:imagedata r:id="rId19" o:title=""/>
          </v:shape>
        </w:pict>
      </w:r>
      <w:r w:rsidRPr="00030090">
        <w:rPr>
          <w:sz w:val="24"/>
          <w:szCs w:val="24"/>
        </w:rPr>
        <w:t>=9.6,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значит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GЭ1=218.88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2.2.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Время испарения СДЯВ</w:t>
      </w:r>
      <w:r>
        <w:rPr>
          <w:sz w:val="24"/>
          <w:szCs w:val="24"/>
        </w:rPr>
        <w:t xml:space="preserve"> </w:t>
      </w:r>
      <w:r w:rsidR="008A1847">
        <w:rPr>
          <w:sz w:val="24"/>
          <w:szCs w:val="24"/>
        </w:rPr>
        <w:pict>
          <v:shape id="_x0000_i1041" type="#_x0000_t75" style="width:69.75pt;height:33.75pt" fillcolor="window">
            <v:imagedata r:id="rId20" o:title=""/>
          </v:shape>
        </w:pic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Толщина h слоя жидкости для СДЯВ, разлившихся свободно на подстилающей поверхности, принимается равной 0,05 м по всей площади разлива.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 xml:space="preserve">d=0.017 т/м3 (из табл.4), K2=0,038 (из табл.4а), K4=1.15(из табл.6), 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K7=1 (из табл.4а при температуре воздуха 200С)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Т=0,019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2.3.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Эквивалентное количество вещества во вторичном облаке</w:t>
      </w:r>
      <w:r>
        <w:rPr>
          <w:sz w:val="24"/>
          <w:szCs w:val="24"/>
        </w:rPr>
        <w:t xml:space="preserve"> </w:t>
      </w:r>
    </w:p>
    <w:p w:rsidR="00A025E5" w:rsidRPr="00030090" w:rsidRDefault="008A1847" w:rsidP="00A025E5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42" type="#_x0000_t75" style="width:179.25pt;height:32.25pt" fillcolor="window">
            <v:imagedata r:id="rId21" o:title=""/>
          </v:shape>
        </w:pict>
      </w:r>
      <w:r w:rsidR="00A025E5">
        <w:rPr>
          <w:sz w:val="24"/>
          <w:szCs w:val="24"/>
        </w:rPr>
        <w:t xml:space="preserve"> 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K1=0.95, K2=0,038, K3=3, K7=1 (из табл.4а),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K4=1.15(из табл.6),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K5=0.08, h=0.05 м, d=0. 017 т/м3 (из табл.4),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K6=T0,8=10,8=1 (T - время испарения вещества), G0=960 т,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Gэ2=592</w:t>
      </w:r>
      <w:r w:rsidRPr="00030090">
        <w:rPr>
          <w:sz w:val="24"/>
          <w:szCs w:val="24"/>
        </w:rPr>
        <w:sym w:font="Symbol" w:char="F0D7"/>
      </w:r>
      <w:r w:rsidRPr="00030090">
        <w:rPr>
          <w:sz w:val="24"/>
          <w:szCs w:val="24"/>
        </w:rPr>
        <w:t>103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2.4.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 xml:space="preserve">Глубина зоны заражения для первичного облака для 1 т СДЯВ при скорости ветра </w:t>
      </w:r>
      <w:r w:rsidRPr="00030090">
        <w:rPr>
          <w:sz w:val="24"/>
          <w:szCs w:val="24"/>
        </w:rPr>
        <w:sym w:font="Symbol" w:char="F06E"/>
      </w:r>
      <w:r w:rsidRPr="00030090">
        <w:rPr>
          <w:sz w:val="24"/>
          <w:szCs w:val="24"/>
        </w:rPr>
        <w:t>=2 м/с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Г=2.84 км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 xml:space="preserve">(из табл.5) 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2.5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Интерполированием находим зону заражения для вторичного облалака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Г2=5.35+(7.2-5.35)/(5-3)</w:t>
      </w:r>
      <w:r w:rsidRPr="00030090">
        <w:rPr>
          <w:sz w:val="24"/>
          <w:szCs w:val="24"/>
        </w:rPr>
        <w:sym w:font="Symbol" w:char="F0D7"/>
      </w:r>
      <w:r w:rsidRPr="00030090">
        <w:rPr>
          <w:sz w:val="24"/>
          <w:szCs w:val="24"/>
        </w:rPr>
        <w:t>(57.359-3)=11.246км</w:t>
      </w:r>
      <w:r>
        <w:rPr>
          <w:sz w:val="24"/>
          <w:szCs w:val="24"/>
        </w:rPr>
        <w:t xml:space="preserve"> 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2.6.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 xml:space="preserve">Полная глубина зоны заражения Г=Г1+0,5Г2 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Г=2.84+0.5</w:t>
      </w:r>
      <w:r w:rsidRPr="00030090">
        <w:rPr>
          <w:sz w:val="24"/>
          <w:szCs w:val="24"/>
        </w:rPr>
        <w:sym w:font="Symbol" w:char="F0B7"/>
      </w:r>
      <w:r w:rsidRPr="00030090">
        <w:rPr>
          <w:sz w:val="24"/>
          <w:szCs w:val="24"/>
        </w:rPr>
        <w:t>11.246=31.52км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2.7.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Предельно возможные значения глубины переноса воздушных</w:t>
      </w:r>
      <w:r>
        <w:rPr>
          <w:sz w:val="24"/>
          <w:szCs w:val="24"/>
        </w:rPr>
        <w:t xml:space="preserve">  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масс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Гп=t</w:t>
      </w:r>
      <w:r w:rsidRPr="00030090">
        <w:rPr>
          <w:sz w:val="24"/>
          <w:szCs w:val="24"/>
        </w:rPr>
        <w:sym w:font="Symbol" w:char="F0B7"/>
      </w:r>
      <w:r w:rsidRPr="00030090">
        <w:rPr>
          <w:sz w:val="24"/>
          <w:szCs w:val="24"/>
        </w:rPr>
        <w:sym w:font="Symbol" w:char="F06E"/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Гп=6</w:t>
      </w:r>
      <w:r w:rsidRPr="00030090">
        <w:rPr>
          <w:sz w:val="24"/>
          <w:szCs w:val="24"/>
        </w:rPr>
        <w:sym w:font="Symbol" w:char="F0B7"/>
      </w:r>
      <w:r w:rsidRPr="00030090">
        <w:rPr>
          <w:sz w:val="24"/>
          <w:szCs w:val="24"/>
        </w:rPr>
        <w:t>15=9км.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2.8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Площадь зоны возможного заражения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Sв=8,72</w:t>
      </w:r>
      <w:r w:rsidRPr="00030090">
        <w:rPr>
          <w:sz w:val="24"/>
          <w:szCs w:val="24"/>
        </w:rPr>
        <w:sym w:font="Symbol" w:char="F0B7"/>
      </w:r>
      <w:r w:rsidRPr="00030090">
        <w:rPr>
          <w:sz w:val="24"/>
          <w:szCs w:val="24"/>
        </w:rPr>
        <w:t>10-3Г2</w:t>
      </w:r>
      <w:r w:rsidRPr="00030090">
        <w:rPr>
          <w:sz w:val="24"/>
          <w:szCs w:val="24"/>
        </w:rPr>
        <w:sym w:font="Symbol" w:char="F06A"/>
      </w:r>
      <w:r w:rsidRPr="00030090">
        <w:rPr>
          <w:sz w:val="24"/>
          <w:szCs w:val="24"/>
        </w:rPr>
        <w:t xml:space="preserve"> , 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СДЯВ Sв1=1.559</w:t>
      </w:r>
      <w:r w:rsidRPr="00030090">
        <w:rPr>
          <w:sz w:val="24"/>
          <w:szCs w:val="24"/>
        </w:rPr>
        <w:sym w:font="Symbol" w:char="F0D7"/>
      </w:r>
      <w:r w:rsidRPr="00030090">
        <w:rPr>
          <w:sz w:val="24"/>
          <w:szCs w:val="24"/>
        </w:rPr>
        <w:t xml:space="preserve">103 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Площадь зоны фактического заражения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Sф=К8 Г2 N0,2 K8</w:t>
      </w:r>
      <w:r>
        <w:rPr>
          <w:sz w:val="24"/>
          <w:szCs w:val="24"/>
        </w:rPr>
        <w:t xml:space="preserve"> 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СДЯВ Sф=334.085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2.9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Время подхода облака зараженного воздуха к границе объекта</w:t>
      </w:r>
    </w:p>
    <w:p w:rsidR="00A025E5" w:rsidRPr="00030090" w:rsidRDefault="008A1847" w:rsidP="00A025E5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43" type="#_x0000_t75" style="width:32.25pt;height:33.75pt" fillcolor="window">
            <v:imagedata r:id="rId22" o:title=""/>
          </v:shape>
        </w:pict>
      </w:r>
      <w:r w:rsidR="00A025E5" w:rsidRPr="00030090">
        <w:rPr>
          <w:sz w:val="24"/>
          <w:szCs w:val="24"/>
        </w:rPr>
        <w:t xml:space="preserve">, где x=0,5 км – расстояние от объекта до места аварии, 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sym w:font="Symbol" w:char="F06E"/>
      </w:r>
      <w:r w:rsidRPr="00030090">
        <w:rPr>
          <w:sz w:val="24"/>
          <w:szCs w:val="24"/>
        </w:rPr>
        <w:t>=1.5 км/ч – скорость переноса переднего фронта облака зараженного воздуха. t=0.333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Построим схему заражения. При скорости ветра по прогнозу больше 1м/с зона заражения имеет вид сектора:</w:t>
      </w:r>
    </w:p>
    <w:p w:rsidR="00A025E5" w:rsidRDefault="008A1847" w:rsidP="00A025E5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noProof/>
        </w:rPr>
        <w:pict>
          <v:line id="_x0000_s1041" style="position:absolute;left:0;text-align:left;flip:y;z-index:251662848" from="131pt,3.9pt" to="131pt,61.5pt" o:allowincell="f">
            <v:stroke endarrow="block"/>
          </v:line>
        </w:pict>
      </w:r>
    </w:p>
    <w:p w:rsidR="00A025E5" w:rsidRDefault="008A1847" w:rsidP="00A025E5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2" type="#_x0000_t19" style="position:absolute;left:0;text-align:left;margin-left:133.2pt;margin-top:9pt;width:28.8pt;height:28.8pt;z-index:251664896" o:allowincell="f"/>
        </w:pict>
      </w:r>
      <w:r>
        <w:rPr>
          <w:noProof/>
        </w:rPr>
        <w:pict>
          <v:line id="_x0000_s1043" style="position:absolute;left:0;text-align:left;flip:x;z-index:251665920" from="130.8pt,7.5pt" to="138pt,7.5pt" o:allowincell="f">
            <v:stroke endarrow="block"/>
          </v:line>
        </w:pict>
      </w:r>
    </w:p>
    <w:p w:rsidR="00A025E5" w:rsidRPr="00030090" w:rsidRDefault="008A1847" w:rsidP="00A025E5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noProof/>
        </w:rPr>
        <w:pict>
          <v:oval id="_x0000_s1044" style="position:absolute;left:0;text-align:left;margin-left:127.3pt;margin-top:9.8pt;width:7.2pt;height:7.15pt;z-index:251667968" o:allowincell="f"/>
        </w:pict>
      </w:r>
      <w:r>
        <w:rPr>
          <w:noProof/>
        </w:rPr>
        <w:pict>
          <v:line id="_x0000_s1045" style="position:absolute;left:0;text-align:left;z-index:251666944" from="162pt,6.6pt" to="162pt,13.8pt" o:allowincell="f">
            <v:stroke endarrow="block"/>
          </v:line>
        </w:pict>
      </w:r>
    </w:p>
    <w:p w:rsidR="00A025E5" w:rsidRDefault="008A1847" w:rsidP="00A025E5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noProof/>
        </w:rPr>
        <w:pict>
          <v:line id="_x0000_s1046" style="position:absolute;left:0;text-align:left;z-index:251663872" from="133.2pt,1.8pt" to="190.8pt,1.8pt" o:allowincell="f">
            <v:stroke endarrow="block"/>
          </v:line>
        </w:pict>
      </w:r>
      <w:r w:rsidR="00A025E5">
        <w:rPr>
          <w:sz w:val="24"/>
          <w:szCs w:val="24"/>
        </w:rPr>
        <w:t xml:space="preserve">  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 xml:space="preserve">Точка «0» соответствует источнику заражения, угол </w:t>
      </w:r>
      <w:r w:rsidRPr="00030090">
        <w:rPr>
          <w:sz w:val="24"/>
          <w:szCs w:val="24"/>
        </w:rPr>
        <w:sym w:font="Symbol" w:char="F06A"/>
      </w:r>
      <w:r w:rsidRPr="00030090">
        <w:rPr>
          <w:sz w:val="24"/>
          <w:szCs w:val="24"/>
        </w:rPr>
        <w:t>=90</w:t>
      </w:r>
      <w:r w:rsidRPr="00030090">
        <w:rPr>
          <w:sz w:val="24"/>
          <w:szCs w:val="24"/>
        </w:rPr>
        <w:sym w:font="Symbol" w:char="F0B0"/>
      </w:r>
      <w:r w:rsidRPr="00030090">
        <w:rPr>
          <w:sz w:val="24"/>
          <w:szCs w:val="24"/>
        </w:rPr>
        <w:t xml:space="preserve"> , радиус окружности r равен глубине зоны заражения Г :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r=Г=31.52 км.</w:t>
      </w:r>
      <w:r>
        <w:rPr>
          <w:sz w:val="24"/>
          <w:szCs w:val="24"/>
        </w:rPr>
        <w:t xml:space="preserve"> </w:t>
      </w:r>
    </w:p>
    <w:p w:rsidR="00A025E5" w:rsidRPr="00AE520D" w:rsidRDefault="00A025E5" w:rsidP="00A025E5">
      <w:pPr>
        <w:spacing w:before="120" w:line="240" w:lineRule="auto"/>
        <w:ind w:left="420" w:firstLine="0"/>
        <w:jc w:val="center"/>
        <w:rPr>
          <w:b/>
          <w:bCs/>
        </w:rPr>
      </w:pPr>
      <w:r w:rsidRPr="00AE520D">
        <w:rPr>
          <w:b/>
          <w:bCs/>
        </w:rPr>
        <w:t>Заключение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В результате проведенной работы я научился определять степени и типы заражений при различных авариях и ЧП, научился рассчитывать силу их воздействия на человека, а так же узнал о мерах, которые необходимо проводить в случаях применения ядерного и химического оружия или при авариях.</w:t>
      </w:r>
    </w:p>
    <w:p w:rsidR="00A025E5" w:rsidRPr="00AE520D" w:rsidRDefault="00A025E5" w:rsidP="00A025E5">
      <w:pPr>
        <w:spacing w:before="120" w:line="240" w:lineRule="auto"/>
        <w:ind w:left="420" w:firstLine="0"/>
        <w:jc w:val="center"/>
        <w:rPr>
          <w:b/>
          <w:bCs/>
        </w:rPr>
      </w:pPr>
      <w:r w:rsidRPr="00AE520D">
        <w:rPr>
          <w:b/>
          <w:bCs/>
        </w:rPr>
        <w:t>Список литературы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 xml:space="preserve">Безопасность жизнедеятельности. Часть 3: Чрезвычайные ситуации. Учебное пособие под ред. А.В. Непомнящего, Г.П. Шилякина. – Таганрог: ТРТУ,1994г. 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Толмачева Л.В.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Методика оценки радиационной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и химической обстановки при чрезвычайных ситуациях: Методическое руководство для самостоятельной работы студентов по курсу “БЖ”: Таганрог: Изд-во ТРТУ, 1999г.</w:t>
      </w:r>
    </w:p>
    <w:p w:rsidR="00A025E5" w:rsidRPr="00030090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Войнов В.П.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Конспект лекций</w:t>
      </w:r>
    </w:p>
    <w:p w:rsidR="00A025E5" w:rsidRDefault="00A025E5" w:rsidP="00A025E5">
      <w:pPr>
        <w:spacing w:before="120" w:line="240" w:lineRule="auto"/>
        <w:ind w:left="420" w:firstLine="567"/>
        <w:rPr>
          <w:sz w:val="24"/>
          <w:szCs w:val="24"/>
        </w:rPr>
      </w:pPr>
      <w:r w:rsidRPr="00030090">
        <w:rPr>
          <w:sz w:val="24"/>
          <w:szCs w:val="24"/>
        </w:rPr>
        <w:t>Шубин Е.П. “Гражданская Оборона”</w:t>
      </w:r>
      <w:r>
        <w:rPr>
          <w:sz w:val="24"/>
          <w:szCs w:val="24"/>
        </w:rPr>
        <w:t xml:space="preserve"> </w:t>
      </w:r>
      <w:r w:rsidRPr="00030090">
        <w:rPr>
          <w:sz w:val="24"/>
          <w:szCs w:val="24"/>
        </w:rPr>
        <w:t>Москва 1991г.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5E5"/>
    <w:rsid w:val="00030090"/>
    <w:rsid w:val="0008670E"/>
    <w:rsid w:val="00291623"/>
    <w:rsid w:val="004149B3"/>
    <w:rsid w:val="00616072"/>
    <w:rsid w:val="008A1847"/>
    <w:rsid w:val="008B35EE"/>
    <w:rsid w:val="008F3CC4"/>
    <w:rsid w:val="00A025E5"/>
    <w:rsid w:val="00AE520D"/>
    <w:rsid w:val="00B42C45"/>
    <w:rsid w:val="00B47B6A"/>
    <w:rsid w:val="00DA7A32"/>
    <w:rsid w:val="00DF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7"/>
    <o:shapelayout v:ext="edit">
      <o:idmap v:ext="edit" data="1"/>
      <o:rules v:ext="edit">
        <o:r id="V:Rule1" type="arc" idref="#_x0000_s1042"/>
      </o:rules>
    </o:shapelayout>
  </w:shapeDefaults>
  <w:decimalSymbol w:val=","/>
  <w:listSeparator w:val=";"/>
  <w14:defaultImageDpi w14:val="0"/>
  <w15:chartTrackingRefBased/>
  <w15:docId w15:val="{81DC48B9-099B-4D94-A94F-744F1FFF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5E5"/>
    <w:pPr>
      <w:widowControl w:val="0"/>
      <w:spacing w:line="300" w:lineRule="auto"/>
      <w:ind w:firstLine="420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fontTable" Target="fontTable.xml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Оценка радиационной и химической обстановки</vt:lpstr>
    </vt:vector>
  </TitlesOfParts>
  <Company>Home</Company>
  <LinksUpToDate>false</LinksUpToDate>
  <CharactersWithSpaces>11330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радиационной и химической обстановки</dc:title>
  <dc:subject/>
  <dc:creator>User</dc:creator>
  <cp:keywords/>
  <dc:description/>
  <cp:lastModifiedBy>admin</cp:lastModifiedBy>
  <cp:revision>2</cp:revision>
  <dcterms:created xsi:type="dcterms:W3CDTF">2014-02-15T07:37:00Z</dcterms:created>
  <dcterms:modified xsi:type="dcterms:W3CDTF">2014-02-15T07:37:00Z</dcterms:modified>
</cp:coreProperties>
</file>