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F46" w:rsidRDefault="00E22044">
      <w:pPr>
        <w:pStyle w:val="1"/>
        <w:jc w:val="center"/>
      </w:pPr>
      <w:r>
        <w:t>Элементы водного режима подсолнечника в зависимости от факторов среды</w:t>
      </w:r>
    </w:p>
    <w:p w:rsidR="00523F46" w:rsidRPr="00E22044" w:rsidRDefault="00E22044">
      <w:pPr>
        <w:pStyle w:val="a3"/>
      </w:pPr>
      <w:r>
        <w:t> </w:t>
      </w:r>
    </w:p>
    <w:p w:rsidR="00523F46" w:rsidRDefault="00E22044">
      <w:pPr>
        <w:pStyle w:val="a3"/>
      </w:pPr>
      <w:r>
        <w:t>А.А. Сиротин , Л.В. Сиротина , М.Ф.Трифонова</w:t>
      </w:r>
    </w:p>
    <w:p w:rsidR="00523F46" w:rsidRDefault="00E22044">
      <w:pPr>
        <w:pStyle w:val="a3"/>
      </w:pPr>
      <w:r>
        <w:t>Белгородский государственный университет</w:t>
      </w:r>
    </w:p>
    <w:p w:rsidR="00523F46" w:rsidRDefault="00E22044">
      <w:pPr>
        <w:pStyle w:val="a3"/>
      </w:pPr>
      <w:r>
        <w:t>Московский государственный агроинженерный университет</w:t>
      </w:r>
    </w:p>
    <w:p w:rsidR="00523F46" w:rsidRDefault="00E22044">
      <w:pPr>
        <w:pStyle w:val="a3"/>
      </w:pPr>
      <w:r>
        <w:t>Ключевые слова: подсолнечник, семена, прорастание, условия.</w:t>
      </w:r>
    </w:p>
    <w:p w:rsidR="00523F46" w:rsidRDefault="00E22044">
      <w:pPr>
        <w:pStyle w:val="a3"/>
      </w:pPr>
      <w:r>
        <w:t>Подсолнечник - важнейшая масличная культура в нашей стране. Основными производителями товарных семян подсолнечника в Российской Федерации являются Центрально-Черноземный и Южный районы европейской территории. Белгородская область - одна из ведущих в производстве и переработке масличных семян, в селекции новых сортов и гибридов подсолнечника [2, 4]. Биологические особенности растений, в частности, водный режим, изучены недостаточно.</w:t>
      </w:r>
    </w:p>
    <w:p w:rsidR="00523F46" w:rsidRDefault="00E22044">
      <w:pPr>
        <w:pStyle w:val="a3"/>
      </w:pPr>
      <w:r>
        <w:t>Подсолнечник - относительно засухоустойчивая культура. Растение имеет хорошо развитую корневую систему, использующую воду из большого объема почвы. Общий расход почвенной влаги за период вегетации с 1 га посева подсолнечника - 3900-5800 т, из которых непосредственно на формирование урожая расходуется 1900-2400 т. Растение использует влагу на глубине до 3 м, иссушая иногда почти полностью слой почвы на глубину 1,5 м [4].</w:t>
      </w:r>
    </w:p>
    <w:p w:rsidR="00523F46" w:rsidRDefault="00E22044">
      <w:pPr>
        <w:pStyle w:val="a3"/>
      </w:pPr>
      <w:r>
        <w:t>Водопотребление растений на разных этапах роста и развития неодинаково. Большое влияние на темпы развития растений оказывает степень увлажнения почвы в период от посева до появления всходов. Семена подсолнечника при прорастании поглощают 70-100% воды от первоначальной своей массы [3].</w:t>
      </w:r>
    </w:p>
    <w:p w:rsidR="00523F46" w:rsidRDefault="00E22044">
      <w:pPr>
        <w:pStyle w:val="a3"/>
      </w:pPr>
      <w:r>
        <w:t>От появления всходов и до образования корзинки растения используют влагу из слоя почвы до 80 см, расход ее за этот период составляет около 25% общего объема потребления за всю вегетацию.</w:t>
      </w:r>
    </w:p>
    <w:p w:rsidR="00523F46" w:rsidRDefault="00E22044">
      <w:pPr>
        <w:pStyle w:val="a3"/>
      </w:pPr>
      <w:r>
        <w:t>Период от образования корзинки и до цветения характеризуется максимальным водопотреблением - около 30% всей расходуемой воды.</w:t>
      </w:r>
    </w:p>
    <w:p w:rsidR="00523F46" w:rsidRDefault="00E22044">
      <w:pPr>
        <w:pStyle w:val="a3"/>
      </w:pPr>
      <w:r>
        <w:t>После цветения подсолнечника расход влаги уменьшается. Качество маслосемян во многом зависит от условий влагообеспеченности. При недостатке влаги масличность семян снижается [1, 2].</w:t>
      </w:r>
    </w:p>
    <w:p w:rsidR="00523F46" w:rsidRDefault="00E22044">
      <w:pPr>
        <w:pStyle w:val="a3"/>
      </w:pPr>
      <w:r>
        <w:t>Поглощение воды семенами - первое необходимое звено в процессе их пробуждения. При непосредственном участии воды происходят гидролиз запасных веществ семени, синтез новых соединений. В первые часы набухания семян вода включается в аминокислоты, активизирует растворимые ферменты, процессы в митохондриях [3].</w:t>
      </w:r>
    </w:p>
    <w:p w:rsidR="00523F46" w:rsidRDefault="00E22044">
      <w:pPr>
        <w:pStyle w:val="a3"/>
      </w:pPr>
      <w:r>
        <w:t>Представления о состоянии воды в биологических системах изменялись в связи с появлением целого ряда новых данных. В настоящее время считают, что вода в биологических объектах - сложная гетерофазная система, которая кроме жидкой фазы включает гидратно- связанные молекулы воды с заряженными группировками макромолекул и ионов, гидрофобно- стабилизированные водные ассоциации на неполярных участках макромолекул, молекулы воды со стерической стабилизацией за счет капиллярного эффекта и ряд других модификаций.</w:t>
      </w:r>
    </w:p>
    <w:p w:rsidR="00523F46" w:rsidRDefault="00E22044">
      <w:pPr>
        <w:pStyle w:val="a3"/>
      </w:pPr>
      <w:r>
        <w:t>Первая фаза поглощения воды связана с набуханием коллоидов, вода поступает в семя через определенные участки поверхности [3].</w:t>
      </w:r>
    </w:p>
    <w:p w:rsidR="00523F46" w:rsidRDefault="00E22044">
      <w:pPr>
        <w:pStyle w:val="a3"/>
      </w:pPr>
      <w:r>
        <w:t>Процесс набухания рассматривается как двухфазный: 1-я фаза - чисто физический процесс, 2-я фаза - метаболический.</w:t>
      </w:r>
    </w:p>
    <w:p w:rsidR="00523F46" w:rsidRDefault="00E22044">
      <w:pPr>
        <w:pStyle w:val="a3"/>
      </w:pPr>
      <w:r>
        <w:t>В лабораторном эксперименте нами исследовано влияние температурного фактора и стимуляторов роста на поглощение воды и ростовые процессы семян подсолнечника различных сортов и гибридов. Использована стандартная методика экспозиции семян в растворе гетероауксина или корневина (0,00; 0,25; 05; 1 г/л) в течение 1, 2, 3, 6 и 24 часов при различных температурах. Дальнейшее проращивание семян (до 7 суток) осуществлялось в дистиллированной воде, поглощение ее определяли весовым методом (табл. 1).</w:t>
      </w:r>
    </w:p>
    <w:p w:rsidR="00523F46" w:rsidRDefault="00E22044">
      <w:pPr>
        <w:pStyle w:val="a3"/>
      </w:pPr>
      <w:r>
        <w:t>Таблица 1</w:t>
      </w:r>
    </w:p>
    <w:p w:rsidR="00523F46" w:rsidRDefault="00E22044">
      <w:pPr>
        <w:pStyle w:val="a3"/>
      </w:pPr>
      <w:r>
        <w:t>Поглощение воды семенами подсолнечника при температуре 21°С</w:t>
      </w:r>
    </w:p>
    <w:p w:rsidR="00523F46" w:rsidRDefault="00E2204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240"/>
        <w:gridCol w:w="240"/>
        <w:gridCol w:w="80"/>
        <w:gridCol w:w="80"/>
        <w:gridCol w:w="80"/>
        <w:gridCol w:w="80"/>
      </w:tblGrid>
      <w:tr w:rsidR="00523F46">
        <w:trPr>
          <w:trHeight w:val="52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3F46" w:rsidRPr="00E22044" w:rsidRDefault="00E22044">
            <w:pPr>
              <w:pStyle w:val="a3"/>
            </w:pPr>
            <w:r w:rsidRPr="00E22044">
              <w:t>Сорт,</w:t>
            </w:r>
          </w:p>
          <w:p w:rsidR="00523F46" w:rsidRPr="00E22044" w:rsidRDefault="00E22044">
            <w:pPr>
              <w:pStyle w:val="a3"/>
            </w:pPr>
            <w:r w:rsidRPr="00E22044">
              <w:t>гибрид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3F46" w:rsidRPr="00E22044" w:rsidRDefault="00E22044">
            <w:pPr>
              <w:pStyle w:val="a3"/>
            </w:pPr>
            <w:r w:rsidRPr="00E22044">
              <w:t>Исходная</w:t>
            </w:r>
          </w:p>
          <w:p w:rsidR="00523F46" w:rsidRPr="00E22044" w:rsidRDefault="00E22044">
            <w:pPr>
              <w:pStyle w:val="a3"/>
            </w:pPr>
            <w:r w:rsidRPr="00E22044">
              <w:t>масса</w:t>
            </w:r>
          </w:p>
          <w:p w:rsidR="00523F46" w:rsidRPr="00E22044" w:rsidRDefault="00E22044">
            <w:pPr>
              <w:pStyle w:val="a3"/>
            </w:pPr>
            <w:r w:rsidRPr="00E22044">
              <w:t>семян,</w:t>
            </w:r>
          </w:p>
          <w:p w:rsidR="00523F46" w:rsidRPr="00E22044" w:rsidRDefault="00E22044">
            <w:pPr>
              <w:pStyle w:val="a3"/>
            </w:pPr>
            <w:r w:rsidRPr="00E22044">
              <w:t>мг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23F46" w:rsidRDefault="00E22044">
            <w:r>
              <w:t>Количество поглощенной воды по суткам, % к исходной массе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3F46" w:rsidRPr="00E22044" w:rsidRDefault="00523F46"/>
        </w:tc>
        <w:tc>
          <w:tcPr>
            <w:tcW w:w="0" w:type="auto"/>
            <w:vMerge/>
            <w:vAlign w:val="center"/>
            <w:hideMark/>
          </w:tcPr>
          <w:p w:rsidR="00523F46" w:rsidRPr="00E22044" w:rsidRDefault="00523F46"/>
        </w:tc>
        <w:tc>
          <w:tcPr>
            <w:tcW w:w="0" w:type="auto"/>
            <w:gridSpan w:val="2"/>
            <w:vAlign w:val="center"/>
            <w:hideMark/>
          </w:tcPr>
          <w:p w:rsidR="00523F46" w:rsidRDefault="00E22044">
            <w:r>
              <w:t>1 сутки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F46" w:rsidRDefault="00E22044">
            <w:r>
              <w:t>3 сутки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F46" w:rsidRDefault="00E22044">
            <w:r>
              <w:t>7 сутки</w:t>
            </w:r>
          </w:p>
        </w:tc>
      </w:tr>
      <w:tr w:rsidR="00523F46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3F46" w:rsidRPr="00E22044" w:rsidRDefault="00523F46"/>
        </w:tc>
        <w:tc>
          <w:tcPr>
            <w:tcW w:w="0" w:type="auto"/>
            <w:vMerge/>
            <w:vAlign w:val="center"/>
            <w:hideMark/>
          </w:tcPr>
          <w:p w:rsidR="00523F46" w:rsidRPr="00E22044" w:rsidRDefault="00523F46"/>
        </w:tc>
        <w:tc>
          <w:tcPr>
            <w:tcW w:w="0" w:type="auto"/>
            <w:vAlign w:val="center"/>
            <w:hideMark/>
          </w:tcPr>
          <w:p w:rsidR="00523F46" w:rsidRDefault="00E22044">
            <w:r>
              <w:t>х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Sx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х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Sx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х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Sx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Вейделевский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79,3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51,2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40,6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112,7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Кондитерский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112,6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71,7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32,5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57,1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0,9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Вейделевский F1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79,7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53,1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32,4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150,1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0,7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Восход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92,6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57,8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31,6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60,7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0,7</w:t>
            </w:r>
          </w:p>
        </w:tc>
      </w:tr>
      <w:tr w:rsidR="00523F4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Белгородский 94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65,0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66,3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62,6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170,0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Белгородский 95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83,5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72,9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49,6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75,0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0,9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Прохоровский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96,7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52,3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27,1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85,9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Вейделевский 81 F1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71,6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51,3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25,1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125,0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0,9</w:t>
            </w:r>
          </w:p>
        </w:tc>
      </w:tr>
      <w:tr w:rsidR="00523F4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Вейделевский 82 F1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97,6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63,3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15,1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84,9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Вейделевский 81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71,4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71,0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20,7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86,8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0,7</w:t>
            </w:r>
          </w:p>
        </w:tc>
      </w:tr>
    </w:tbl>
    <w:p w:rsidR="00523F46" w:rsidRPr="00E22044" w:rsidRDefault="00E22044">
      <w:pPr>
        <w:pStyle w:val="a3"/>
      </w:pPr>
      <w:r>
        <w:t>Как видно из данных таблицы, семена большинства исследуемых сортов и гибридов при 21°С поглощают воды за первые сутки больше, чем за третьи, максимум наступает на 7-е сутки проращивания. Это согласуется с данными К.Е. Овчарова [1976], установившего возрастание поглощения воды с началом прорастания семян. Выявлена неоднородная реакция сортов и гибридов. Максимальный темп процесса практически без спада на третьи сутки обнаружил сорт Белгородский 94, у которого суммарный показатель за 7 суток достиг 170,0% к массе семян. Низкий темп с максимальным спадом на третьи сутки характерен для гибрида Вейделевский 82, за 7 суток проращивания поглотившего лишь 84,9% воды к массе семян.</w:t>
      </w:r>
    </w:p>
    <w:p w:rsidR="00523F46" w:rsidRDefault="00E22044">
      <w:pPr>
        <w:pStyle w:val="a3"/>
      </w:pPr>
      <w:r>
        <w:t>При снижении температуры до 10°С темп поглощения воды семенами в целом снижается (табл. 2). Общее количество поглощенной воды на 7-е сутки не превышает 160,5% (сорт Вейделевский 81), а гибрид Вейделевский 82, как и при 21°С, поглощает меньше всех (87,9%). Отличительная особенность большинства сортов и гибридов при 10°С отсутствие депрессии в поглощении воды, характерной для температуры 21°С, что может быть следствием лучшей сопряженности процессов набухания и прорастания семян при пониженной температуре.</w:t>
      </w:r>
    </w:p>
    <w:p w:rsidR="00523F46" w:rsidRDefault="00E22044">
      <w:pPr>
        <w:pStyle w:val="a3"/>
      </w:pPr>
      <w:r>
        <w:t>Прорастание состоит из ряда процессов, начинающихся с поглощения воды и успешно завершающихся проклевыванием корешка через покровы семени. Мобилизация запасных веществ семени - обязательный этап прорастания [4].</w:t>
      </w:r>
    </w:p>
    <w:p w:rsidR="00523F46" w:rsidRDefault="00E22044">
      <w:pPr>
        <w:pStyle w:val="a3"/>
      </w:pPr>
      <w:r>
        <w:t>В начале проклевывается корешок. Это происходит на 2-е сутки при температуре 21°С и на 4 - 5-е сутки при температуре 10°С, затем корень начинает интенсивно расти. Стебель у семян подсолнечника при температуре 21°С четко выделяется на 4 - 5-е сутки.</w:t>
      </w:r>
    </w:p>
    <w:p w:rsidR="00523F46" w:rsidRDefault="00E22044">
      <w:pPr>
        <w:pStyle w:val="a3"/>
      </w:pPr>
      <w:r>
        <w:t>Поглощение воды в течение 7 суток при температуре 10°С семенами подсолнечника с последующим проращиванием при 21°С</w:t>
      </w:r>
    </w:p>
    <w:p w:rsidR="00523F46" w:rsidRDefault="00E2204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240"/>
        <w:gridCol w:w="240"/>
        <w:gridCol w:w="60"/>
        <w:gridCol w:w="60"/>
        <w:gridCol w:w="60"/>
        <w:gridCol w:w="60"/>
        <w:gridCol w:w="60"/>
        <w:gridCol w:w="60"/>
      </w:tblGrid>
      <w:tr w:rsidR="00523F46">
        <w:trPr>
          <w:trHeight w:val="27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23F46" w:rsidRPr="00E22044" w:rsidRDefault="00E22044">
            <w:pPr>
              <w:pStyle w:val="a3"/>
            </w:pPr>
            <w:r w:rsidRPr="00E22044">
              <w:t>Сорт,</w:t>
            </w:r>
          </w:p>
          <w:p w:rsidR="00523F46" w:rsidRPr="00E22044" w:rsidRDefault="00E22044">
            <w:pPr>
              <w:pStyle w:val="a3"/>
            </w:pPr>
            <w:r w:rsidRPr="00E22044">
              <w:t>гибрид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23F46" w:rsidRDefault="00E22044">
            <w:r>
              <w:t>Исходная масса семян, мг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523F46" w:rsidRDefault="00E22044">
            <w:r>
              <w:t>Количество поглощенной воды, % к исходной массе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3F46" w:rsidRPr="00E22044" w:rsidRDefault="00523F46"/>
        </w:tc>
        <w:tc>
          <w:tcPr>
            <w:tcW w:w="0" w:type="auto"/>
            <w:vMerge/>
            <w:vAlign w:val="center"/>
            <w:hideMark/>
          </w:tcPr>
          <w:p w:rsidR="00523F46" w:rsidRDefault="00523F46"/>
        </w:tc>
        <w:tc>
          <w:tcPr>
            <w:tcW w:w="0" w:type="auto"/>
            <w:gridSpan w:val="2"/>
            <w:vAlign w:val="center"/>
            <w:hideMark/>
          </w:tcPr>
          <w:p w:rsidR="00523F46" w:rsidRDefault="00E22044">
            <w:r>
              <w:t>1 сутки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F46" w:rsidRDefault="00E22044">
            <w:r>
              <w:t>3 сутки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F46" w:rsidRDefault="00E22044">
            <w:r>
              <w:t>7 сутки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23F46" w:rsidRDefault="00E22044">
            <w:r>
              <w:t>8 сутки</w:t>
            </w:r>
          </w:p>
        </w:tc>
      </w:tr>
      <w:tr w:rsidR="00523F46">
        <w:trPr>
          <w:trHeight w:val="28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23F46" w:rsidRPr="00E22044" w:rsidRDefault="00523F46"/>
        </w:tc>
        <w:tc>
          <w:tcPr>
            <w:tcW w:w="0" w:type="auto"/>
            <w:vMerge/>
            <w:vAlign w:val="center"/>
            <w:hideMark/>
          </w:tcPr>
          <w:p w:rsidR="00523F46" w:rsidRDefault="00523F46"/>
        </w:tc>
        <w:tc>
          <w:tcPr>
            <w:tcW w:w="0" w:type="auto"/>
            <w:vAlign w:val="center"/>
            <w:hideMark/>
          </w:tcPr>
          <w:p w:rsidR="00523F46" w:rsidRDefault="00E22044">
            <w:r>
              <w:t>х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Sx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х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Sx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х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Sx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х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Sic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Вейделевский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82,6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33,1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61,5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98,9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183,4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1,1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Кондитерский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100,6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50,4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84,5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136,5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206,5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1,2</w:t>
            </w:r>
          </w:p>
        </w:tc>
      </w:tr>
      <w:tr w:rsidR="00523F4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Вейделевский F1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87,1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34,3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77,6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114,9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142,0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1,0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Восход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95,4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51,6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85,3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156,0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184,4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1,2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Белгородский 94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76,8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40,6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77,9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146,4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239,7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1,5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Белгородский 95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92,2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50,7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91,3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144,9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214,0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1,2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Прохоровский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101,8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15,5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78,0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135,7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173,0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1,4</w:t>
            </w:r>
          </w:p>
        </w:tc>
      </w:tr>
      <w:tr w:rsidR="00523F46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Вейделевский 81 F1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81,8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37,7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75,3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105,0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146,7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1,2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Вейделевский 82 F1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96,0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51,4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78,9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87,9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96,9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1,1</w:t>
            </w:r>
          </w:p>
        </w:tc>
      </w:tr>
      <w:tr w:rsidR="00523F46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523F46" w:rsidRDefault="00E22044">
            <w:r>
              <w:t>Вейделевский 81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73,6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59,8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94,2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160,5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0,9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215,2</w:t>
            </w:r>
          </w:p>
        </w:tc>
        <w:tc>
          <w:tcPr>
            <w:tcW w:w="0" w:type="auto"/>
            <w:vAlign w:val="center"/>
            <w:hideMark/>
          </w:tcPr>
          <w:p w:rsidR="00523F46" w:rsidRDefault="00E22044">
            <w:r>
              <w:t>1,3</w:t>
            </w:r>
          </w:p>
        </w:tc>
      </w:tr>
    </w:tbl>
    <w:p w:rsidR="00523F46" w:rsidRPr="00E22044" w:rsidRDefault="00E22044">
      <w:pPr>
        <w:pStyle w:val="a3"/>
      </w:pPr>
      <w:r>
        <w:t>При температуре 21°С видна неоднородность ростовых процессов у следующих сортов и гибридов подсолнечника (рис.).</w:t>
      </w:r>
    </w:p>
    <w:p w:rsidR="00523F46" w:rsidRDefault="00683728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6pt;height:249pt">
            <v:imagedata r:id="rId4" o:title=""/>
          </v:shape>
        </w:pict>
      </w:r>
    </w:p>
    <w:p w:rsidR="00523F46" w:rsidRDefault="00E22044">
      <w:pPr>
        <w:pStyle w:val="a3"/>
      </w:pPr>
      <w:r>
        <w:t>Длина корня подсолнечника при воздействии температуры 21°С в течение 7 суток</w:t>
      </w:r>
    </w:p>
    <w:p w:rsidR="00523F46" w:rsidRDefault="00E22044">
      <w:pPr>
        <w:pStyle w:val="a3"/>
      </w:pPr>
      <w:r>
        <w:t>Наиболее интенсивный рост отмечен у гибрида Вейделевский: длина корня на 7-е сутки составила 45,8 мм, длина стебля - 34,3 мм. На втором месте по интенсивности роста - сорт Белгородский 94, на третьем - Вейделевский.</w:t>
      </w:r>
    </w:p>
    <w:p w:rsidR="00523F46" w:rsidRDefault="00E22044">
      <w:pPr>
        <w:pStyle w:val="a3"/>
      </w:pPr>
      <w:r>
        <w:t>Низкая температура снижает ростовые процессы, однако воздействие температурой 10°С в течение 7 суток и последующее выращивание при 21°С приводит к стимуляции ростовых процессов у сортов Вейделевский, Кондитерский, Вейделевский 81. Слабое угнетение роста отмечено у гибрида Вейделевский. Низкие температуры при прорастании семян не оказали влияния на сорта Белгородский 94, Белгородский 95 и Прохоровский.</w:t>
      </w:r>
    </w:p>
    <w:p w:rsidR="00523F46" w:rsidRDefault="00E22044">
      <w:pPr>
        <w:pStyle w:val="a3"/>
      </w:pPr>
      <w:r>
        <w:t>Можно считать, что сорта Вейделевский, Вейделевский 81 и Кондитерский более холодоустойчивы. Низкие температуры в начале прорастания стимулируют у этих сортов ростовые процессы.</w:t>
      </w:r>
    </w:p>
    <w:p w:rsidR="00523F46" w:rsidRDefault="00E22044">
      <w:pPr>
        <w:pStyle w:val="a3"/>
      </w:pPr>
      <w:r>
        <w:t>Воздействие на семена подсолнечника стимуляторами (гетероауксин, корневин), обладающими аттрагирующим действием, показало неоднородную реакцию сортов. Выяснено, что оптимальной концентрацией корневина является 0,25 г/л при экспозиции 24 часа.</w:t>
      </w:r>
    </w:p>
    <w:p w:rsidR="00523F46" w:rsidRDefault="00E22044">
      <w:pPr>
        <w:pStyle w:val="a3"/>
      </w:pPr>
      <w:r>
        <w:t>Максимальное поглощение воды у сорта Вейделевский при температуре 10°С, минимальное - у сорта Восход. При температуре 21°С максимальное поглощение воды у сорта Белгородский 95, минимальное - у сорта Восход.</w:t>
      </w:r>
    </w:p>
    <w:p w:rsidR="00523F46" w:rsidRDefault="00E22044">
      <w:pPr>
        <w:pStyle w:val="a3"/>
      </w:pPr>
      <w:r>
        <w:t>Раствор гетероауксина 0,5 г/л в течение 2 часов оказывает стимулирующее действие на поступление воды в семена сортов Вейделевский и Восход. Высокие концентрации ауксина угнетают поступление воды.</w:t>
      </w:r>
    </w:p>
    <w:p w:rsidR="00523F46" w:rsidRDefault="00E22044">
      <w:pPr>
        <w:pStyle w:val="a3"/>
      </w:pPr>
      <w:r>
        <w:t>Обработка семян гетероауксином 0,25 г/л при экспозиции 3 часа увеличивает поглощение воды у сортов Белгородский 95, Прохоровский, гибрид Вейделевский, а у гибридов Вейделевский 81, Вейделевский 82 снижает.</w:t>
      </w:r>
    </w:p>
    <w:p w:rsidR="00523F46" w:rsidRDefault="00E22044">
      <w:pPr>
        <w:pStyle w:val="a3"/>
      </w:pPr>
      <w:r>
        <w:t>Таким образом, проведенные исследования позволили определить оптимальный температурный режим для набухания и прорастания семян подсолнечника, выделить холодоустойчивые сорта, а также условия обработки семян корневином и гетероауксином для стимуляции ростовых процессов.</w:t>
      </w:r>
    </w:p>
    <w:p w:rsidR="00523F46" w:rsidRDefault="00E22044">
      <w:pPr>
        <w:pStyle w:val="a3"/>
      </w:pPr>
      <w:r>
        <w:t>Список литературы</w:t>
      </w:r>
    </w:p>
    <w:p w:rsidR="00523F46" w:rsidRDefault="00E22044">
      <w:pPr>
        <w:pStyle w:val="a3"/>
      </w:pPr>
      <w:r>
        <w:t>Красножен В.Г., Бардадым В.П. Прием и обработка подсолнечника.- М.: Колос, 1971. - 64 с.</w:t>
      </w:r>
    </w:p>
    <w:p w:rsidR="00523F46" w:rsidRDefault="00E22044">
      <w:pPr>
        <w:pStyle w:val="a3"/>
      </w:pPr>
      <w:r>
        <w:t>Овчаров К.Е. Физиология формирования и прорастания семян. - М.: Колос, 1976. - 84 с.</w:t>
      </w:r>
    </w:p>
    <w:p w:rsidR="00523F46" w:rsidRDefault="00E22044">
      <w:pPr>
        <w:pStyle w:val="a3"/>
      </w:pPr>
      <w:r>
        <w:t>Пустовойт В.С. Подсолнечник. - М.: Колос, 1975. - 44 с.</w:t>
      </w:r>
    </w:p>
    <w:p w:rsidR="00523F46" w:rsidRDefault="00E22044">
      <w:pPr>
        <w:pStyle w:val="a3"/>
      </w:pPr>
      <w:r>
        <w:t>Физиология семян / Данович К.Н., Соболев А.И., Жданова Л.П., Илли И.Э., Николаева М.Г., Аскоченская Н.А., Обручева Н.В., Хавкин Э.Е. - М.: Наука, 1982. - 318 с.</w:t>
      </w:r>
      <w:bookmarkStart w:id="0" w:name="_GoBack"/>
      <w:bookmarkEnd w:id="0"/>
    </w:p>
    <w:sectPr w:rsidR="00523F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2044"/>
    <w:rsid w:val="00523F46"/>
    <w:rsid w:val="00683728"/>
    <w:rsid w:val="00E2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48F231-B3A3-421D-8FFD-8B4A9052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</Words>
  <Characters>7816</Characters>
  <Application>Microsoft Office Word</Application>
  <DocSecurity>0</DocSecurity>
  <Lines>65</Lines>
  <Paragraphs>18</Paragraphs>
  <ScaleCrop>false</ScaleCrop>
  <Company>diakov.net</Company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Элементы водного режима подсолнечника в зависимости от факторов среды</dc:title>
  <dc:subject/>
  <dc:creator>Irina</dc:creator>
  <cp:keywords/>
  <dc:description/>
  <cp:lastModifiedBy>Irina</cp:lastModifiedBy>
  <cp:revision>2</cp:revision>
  <dcterms:created xsi:type="dcterms:W3CDTF">2014-08-02T20:21:00Z</dcterms:created>
  <dcterms:modified xsi:type="dcterms:W3CDTF">2014-08-02T20:21:00Z</dcterms:modified>
</cp:coreProperties>
</file>