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B0" w:rsidRDefault="006708B0" w:rsidP="004A7F83">
      <w:pPr>
        <w:spacing w:line="360" w:lineRule="auto"/>
        <w:ind w:right="-6" w:firstLine="720"/>
        <w:jc w:val="center"/>
        <w:rPr>
          <w:b/>
          <w:bCs/>
          <w:sz w:val="28"/>
        </w:rPr>
      </w:pPr>
    </w:p>
    <w:p w:rsidR="00C82FE8" w:rsidRDefault="00C82FE8" w:rsidP="004A7F83">
      <w:pPr>
        <w:spacing w:line="360" w:lineRule="auto"/>
        <w:ind w:right="-6"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СОДЕРЖАНИЕ:</w:t>
      </w:r>
    </w:p>
    <w:p w:rsidR="00C82FE8" w:rsidRDefault="00C82FE8" w:rsidP="00162F0B">
      <w:pPr>
        <w:spacing w:line="360" w:lineRule="auto"/>
        <w:ind w:right="-6" w:firstLine="720"/>
        <w:jc w:val="center"/>
        <w:rPr>
          <w:bCs/>
          <w:sz w:val="28"/>
        </w:rPr>
      </w:pPr>
    </w:p>
    <w:p w:rsidR="00C82FE8" w:rsidRDefault="00C82FE8" w:rsidP="00162F0B">
      <w:pPr>
        <w:numPr>
          <w:ilvl w:val="0"/>
          <w:numId w:val="2"/>
        </w:num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Введение</w:t>
      </w:r>
      <w:r w:rsidR="00D62D42">
        <w:rPr>
          <w:bCs/>
          <w:sz w:val="28"/>
        </w:rPr>
        <w:t>……………………………………………………………………….3</w:t>
      </w:r>
    </w:p>
    <w:p w:rsidR="00C82FE8" w:rsidRDefault="00C82FE8" w:rsidP="00162F0B">
      <w:pPr>
        <w:numPr>
          <w:ilvl w:val="0"/>
          <w:numId w:val="2"/>
        </w:num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Биологический контроль санитарного состояния водоема</w:t>
      </w:r>
      <w:r w:rsidR="00D62D42">
        <w:rPr>
          <w:bCs/>
          <w:sz w:val="28"/>
        </w:rPr>
        <w:t>………………...4</w:t>
      </w:r>
    </w:p>
    <w:p w:rsidR="00C82FE8" w:rsidRDefault="00C82FE8" w:rsidP="00162F0B">
      <w:pPr>
        <w:numPr>
          <w:ilvl w:val="0"/>
          <w:numId w:val="2"/>
        </w:num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Методы биотестирования</w:t>
      </w:r>
      <w:r w:rsidR="00D62D42">
        <w:rPr>
          <w:bCs/>
          <w:sz w:val="28"/>
        </w:rPr>
        <w:t>…………………………………………………….</w:t>
      </w:r>
      <w:r w:rsidR="004C13F4">
        <w:rPr>
          <w:bCs/>
          <w:sz w:val="28"/>
        </w:rPr>
        <w:t>8</w:t>
      </w:r>
    </w:p>
    <w:p w:rsidR="00C82FE8" w:rsidRDefault="00C82FE8" w:rsidP="00162F0B">
      <w:p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 xml:space="preserve">3.1 </w:t>
      </w:r>
      <w:r w:rsidR="00D62D42">
        <w:rPr>
          <w:bCs/>
          <w:sz w:val="28"/>
        </w:rPr>
        <w:t>Оценка качества воды рек и озер по биотическому индексу……………..</w:t>
      </w:r>
      <w:r w:rsidR="004C13F4">
        <w:rPr>
          <w:bCs/>
          <w:sz w:val="28"/>
        </w:rPr>
        <w:t>10</w:t>
      </w:r>
    </w:p>
    <w:p w:rsidR="00C82FE8" w:rsidRDefault="00C82FE8" w:rsidP="00162F0B">
      <w:p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3.2</w:t>
      </w:r>
      <w:r w:rsidR="00D62D42">
        <w:rPr>
          <w:bCs/>
          <w:sz w:val="28"/>
        </w:rPr>
        <w:t xml:space="preserve"> Определение сапробности водоема по методу Пантле и Букка …………</w:t>
      </w:r>
      <w:r w:rsidR="004C13F4">
        <w:rPr>
          <w:bCs/>
          <w:sz w:val="28"/>
        </w:rPr>
        <w:t>12</w:t>
      </w:r>
    </w:p>
    <w:p w:rsidR="00C82FE8" w:rsidRDefault="00C82FE8" w:rsidP="00162F0B">
      <w:p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3.3</w:t>
      </w:r>
      <w:r w:rsidR="00D62D42">
        <w:rPr>
          <w:bCs/>
          <w:sz w:val="28"/>
        </w:rPr>
        <w:t xml:space="preserve"> Индекс </w:t>
      </w:r>
      <w:r w:rsidR="004C13F4">
        <w:rPr>
          <w:bCs/>
          <w:sz w:val="28"/>
        </w:rPr>
        <w:t>Вудивисса…………………………………………………………..14</w:t>
      </w:r>
    </w:p>
    <w:p w:rsidR="00D62D42" w:rsidRDefault="00D62D42" w:rsidP="00162F0B">
      <w:p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3.4 Индекс видового разнообразия Маргалефа………………………………..1</w:t>
      </w:r>
      <w:r w:rsidR="004C13F4">
        <w:rPr>
          <w:bCs/>
          <w:sz w:val="28"/>
        </w:rPr>
        <w:t>6</w:t>
      </w:r>
    </w:p>
    <w:p w:rsidR="00D62D42" w:rsidRDefault="00D62D42" w:rsidP="00162F0B">
      <w:p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3.5 Индекс биоразнообразия Симпсона………………………………………..1</w:t>
      </w:r>
      <w:r w:rsidR="004C13F4">
        <w:rPr>
          <w:bCs/>
          <w:sz w:val="28"/>
        </w:rPr>
        <w:t>7</w:t>
      </w:r>
    </w:p>
    <w:p w:rsidR="00C82FE8" w:rsidRDefault="00D62D42" w:rsidP="00162F0B">
      <w:pPr>
        <w:numPr>
          <w:ilvl w:val="0"/>
          <w:numId w:val="2"/>
        </w:num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Заключение……………………………………………………………………1</w:t>
      </w:r>
      <w:r w:rsidR="004C13F4">
        <w:rPr>
          <w:bCs/>
          <w:sz w:val="28"/>
        </w:rPr>
        <w:t>9</w:t>
      </w:r>
    </w:p>
    <w:p w:rsidR="00F009F5" w:rsidRDefault="00F009F5" w:rsidP="00162F0B">
      <w:pPr>
        <w:numPr>
          <w:ilvl w:val="0"/>
          <w:numId w:val="2"/>
        </w:numPr>
        <w:spacing w:line="360" w:lineRule="auto"/>
        <w:ind w:right="-6"/>
        <w:jc w:val="center"/>
        <w:rPr>
          <w:bCs/>
          <w:sz w:val="28"/>
        </w:rPr>
      </w:pPr>
      <w:r>
        <w:rPr>
          <w:bCs/>
          <w:sz w:val="28"/>
        </w:rPr>
        <w:t>Используемая литература</w:t>
      </w:r>
      <w:r w:rsidR="00162F0B">
        <w:rPr>
          <w:bCs/>
          <w:sz w:val="28"/>
        </w:rPr>
        <w:t>……………………………………………………20</w:t>
      </w:r>
    </w:p>
    <w:p w:rsidR="00C82FE8" w:rsidRDefault="00C82FE8" w:rsidP="00C82FE8">
      <w:pPr>
        <w:spacing w:line="360" w:lineRule="auto"/>
        <w:ind w:right="-6"/>
        <w:jc w:val="both"/>
        <w:rPr>
          <w:bCs/>
          <w:sz w:val="28"/>
        </w:rPr>
      </w:pPr>
    </w:p>
    <w:p w:rsidR="00C82FE8" w:rsidRDefault="00C82FE8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4C13F4" w:rsidRDefault="004C13F4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D62D42" w:rsidRDefault="00D62D42" w:rsidP="00C82FE8">
      <w:pPr>
        <w:spacing w:line="360" w:lineRule="auto"/>
        <w:ind w:left="720" w:right="-6"/>
        <w:jc w:val="both"/>
        <w:rPr>
          <w:bCs/>
          <w:sz w:val="28"/>
        </w:rPr>
      </w:pPr>
    </w:p>
    <w:p w:rsidR="00145E1D" w:rsidRDefault="00145E1D" w:rsidP="004A7F83">
      <w:pPr>
        <w:spacing w:line="360" w:lineRule="auto"/>
        <w:ind w:right="-6"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ВВЕДЕНИЕ.</w:t>
      </w:r>
    </w:p>
    <w:p w:rsidR="00145E1D" w:rsidRDefault="00145E1D" w:rsidP="004A7F83">
      <w:pPr>
        <w:spacing w:line="360" w:lineRule="auto"/>
        <w:ind w:right="-6" w:firstLine="720"/>
        <w:jc w:val="both"/>
        <w:rPr>
          <w:b/>
          <w:bCs/>
          <w:sz w:val="28"/>
        </w:rPr>
      </w:pPr>
    </w:p>
    <w:p w:rsidR="00145E1D" w:rsidRDefault="00145E1D" w:rsidP="004A7F83">
      <w:pPr>
        <w:pStyle w:val="a3"/>
        <w:tabs>
          <w:tab w:val="left" w:pos="540"/>
        </w:tabs>
        <w:spacing w:line="360" w:lineRule="auto"/>
        <w:ind w:firstLine="720"/>
      </w:pPr>
      <w:r>
        <w:t>Определение качества поверхностных вод, которое осуществляется главным образом с помощью методов физико-химического анализа, представляет одну из сложнейших проблем экологического мониторинга. Это вынуждает экологов искать другие, малозатратные методы контроля состояния поверхностных вод.</w:t>
      </w:r>
    </w:p>
    <w:p w:rsidR="00145E1D" w:rsidRDefault="00145E1D" w:rsidP="004A7F8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Методы биоиндикации и биотестирования имеют ряд преимуществ по сравнению с методом физико-химического анализа проб окружающей среды. Они повышают достоверность оценки экологического состояния поверхностных вод, поскольку биоценозы формируются в определенных условиях, в определенных биотопах в течение длительного времени, они достаточно надежно отражают эти условия и позволяют судить об антропогенном воздействии на экосистемы, о динамике процессов самоочищения.</w:t>
      </w:r>
    </w:p>
    <w:p w:rsidR="00E2192E" w:rsidRPr="00E2192E" w:rsidRDefault="00145E1D" w:rsidP="00E2192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Методы биоиндикации качества водоемов основываются на способности пресноводных моллюсков очищать воду от загрязняющих веществ. Например, моллюски, заселяющие один квадратный метр донного ила водоема, за сутки способны профильтровать до </w:t>
      </w:r>
      <w:smartTag w:uri="urn:schemas-microsoft-com:office:smarttags" w:element="metricconverter">
        <w:smartTagPr>
          <w:attr w:name="ProductID" w:val="280 м3"/>
        </w:smartTagPr>
        <w:r>
          <w:rPr>
            <w:sz w:val="28"/>
          </w:rPr>
          <w:t>280 м</w:t>
        </w:r>
        <w:r>
          <w:rPr>
            <w:sz w:val="28"/>
            <w:vertAlign w:val="superscript"/>
          </w:rPr>
          <w:t>3</w:t>
        </w:r>
      </w:smartTag>
      <w:r>
        <w:rPr>
          <w:sz w:val="28"/>
        </w:rPr>
        <w:t xml:space="preserve"> воды. Некоторые виды моллюсков могут жить в загрязненной воде, и это позволяет судить о чистоте воды по видимому разнообразию обитающих в данном водоеме моллюсков-биоиндикаторов. Так, катушку, перловицу и беззубку утиную можно найти только в водоемах с чистой водой, битинию, горошину, лужанку, прудовика, перловицу вздутую и физу - в водоемах со слабым загрязненной водой, а шаровку р</w:t>
      </w:r>
      <w:r w:rsidR="00E2192E">
        <w:rPr>
          <w:sz w:val="28"/>
        </w:rPr>
        <w:t>оговую- с умеренно загрязненной</w:t>
      </w:r>
    </w:p>
    <w:p w:rsidR="000357F9" w:rsidRDefault="000357F9" w:rsidP="004A7F83">
      <w:pPr>
        <w:spacing w:line="360" w:lineRule="auto"/>
        <w:ind w:left="1080" w:right="-6"/>
        <w:jc w:val="both"/>
        <w:rPr>
          <w:bCs/>
          <w:sz w:val="28"/>
        </w:rPr>
      </w:pPr>
    </w:p>
    <w:p w:rsidR="0060359E" w:rsidRDefault="0060359E" w:rsidP="004A7F83">
      <w:pPr>
        <w:spacing w:line="360" w:lineRule="auto"/>
        <w:ind w:left="1080" w:right="-6"/>
        <w:jc w:val="both"/>
        <w:rPr>
          <w:bCs/>
          <w:sz w:val="28"/>
        </w:rPr>
      </w:pPr>
    </w:p>
    <w:p w:rsidR="000357F9" w:rsidRDefault="000357F9" w:rsidP="00E2192E">
      <w:pPr>
        <w:spacing w:line="360" w:lineRule="auto"/>
        <w:ind w:right="-6"/>
        <w:jc w:val="both"/>
        <w:rPr>
          <w:bCs/>
          <w:sz w:val="28"/>
        </w:rPr>
      </w:pPr>
    </w:p>
    <w:p w:rsidR="004C13F4" w:rsidRPr="00E62942" w:rsidRDefault="004C13F4" w:rsidP="00E2192E">
      <w:pPr>
        <w:spacing w:line="360" w:lineRule="auto"/>
        <w:ind w:right="-6"/>
        <w:jc w:val="both"/>
        <w:rPr>
          <w:bCs/>
          <w:sz w:val="28"/>
        </w:rPr>
      </w:pPr>
    </w:p>
    <w:p w:rsidR="00CB18EA" w:rsidRPr="00145E1D" w:rsidRDefault="00CB18EA" w:rsidP="004A7F83">
      <w:pPr>
        <w:spacing w:line="360" w:lineRule="auto"/>
        <w:jc w:val="both"/>
        <w:rPr>
          <w:sz w:val="28"/>
          <w:szCs w:val="28"/>
        </w:rPr>
      </w:pPr>
    </w:p>
    <w:p w:rsidR="00145E1D" w:rsidRDefault="00145E1D" w:rsidP="00173066">
      <w:pPr>
        <w:pStyle w:val="3"/>
        <w:spacing w:line="360" w:lineRule="auto"/>
        <w:ind w:left="170" w:firstLine="550"/>
        <w:jc w:val="center"/>
        <w:rPr>
          <w:b/>
          <w:bCs/>
          <w:sz w:val="28"/>
          <w:szCs w:val="28"/>
        </w:rPr>
      </w:pPr>
      <w:r w:rsidRPr="00145E1D">
        <w:rPr>
          <w:b/>
          <w:bCs/>
          <w:sz w:val="28"/>
          <w:szCs w:val="28"/>
        </w:rPr>
        <w:t>БИОЛОГИЧЕСКИЙ КОНТРОЛЬ САНИТАРНОГО СОСТОЯНИЯ ВОДОЕМА.</w:t>
      </w:r>
    </w:p>
    <w:p w:rsidR="00145E1D" w:rsidRDefault="00145E1D" w:rsidP="004A7F83">
      <w:pPr>
        <w:pStyle w:val="3"/>
        <w:spacing w:after="0" w:line="360" w:lineRule="auto"/>
        <w:ind w:left="170" w:firstLine="550"/>
        <w:jc w:val="both"/>
        <w:rPr>
          <w:sz w:val="28"/>
          <w:szCs w:val="28"/>
        </w:rPr>
      </w:pPr>
      <w:r w:rsidRPr="00145E1D">
        <w:rPr>
          <w:sz w:val="28"/>
          <w:szCs w:val="28"/>
        </w:rPr>
        <w:t>Под биологическим методом понимается оценка состояния водоема по составу растительного и животного населения и тестам на токсичность. Преимуществом биологического метода перед другими является возможность показать не только единовременное состояние водоема, но также предшествующие условия, в которых развились обнаруженные биоценозы, а также состояние водоема в ближайшей перспективе.</w:t>
      </w:r>
    </w:p>
    <w:p w:rsidR="00145E1D" w:rsidRDefault="00145E1D" w:rsidP="004A7F83">
      <w:pPr>
        <w:pStyle w:val="3"/>
        <w:spacing w:after="0" w:line="360" w:lineRule="auto"/>
        <w:ind w:left="170" w:firstLine="550"/>
        <w:jc w:val="both"/>
        <w:rPr>
          <w:sz w:val="28"/>
          <w:szCs w:val="28"/>
        </w:rPr>
      </w:pPr>
      <w:r w:rsidRPr="00145E1D">
        <w:rPr>
          <w:sz w:val="28"/>
          <w:szCs w:val="28"/>
        </w:rPr>
        <w:t>Организмы водоема относятся к планктону и бентосу, ряд из них составляет перифитон. Наиболее характерными для оценки загрязнения водоема являются бентос и перифитон. В состав биоценозов  бентоса входят все формы растений и животных, которые своей жизнью тесно связаны с дном водоема. Организмы зообентоса принято разделять в зависимости от размеров и способов лова на макробентос, мезобентос, микробентос. Фитобентос представлен в водоеме макрофитами (высшая водная растительность) и микроводорослями. В планктон включают те формы животных и растений, которые проводят всю жизнь во взвешенном состоянии в толще воды водоема. К фитопланктону принадлежат микроводоросли, к зоопланктону - животные.</w:t>
      </w:r>
    </w:p>
    <w:p w:rsidR="00173066" w:rsidRPr="005125AF" w:rsidRDefault="00173066" w:rsidP="00173066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Любая водная экосистема, находясь в равновесии с факторами внешней среды, имеет сложную систему подвижных биологических связей, которые нарушаются под воздействием антропогенных факторов. Прежде всего, влияние антропогенных факторов, и в частности, загрязнения отражается на видовом составе водных сообществ и соотношении численности слагающих их видов. Биологический метод оценки состояния водоема позволяет решить задачи, разрешение которых с помощью гидрофизических и гидрохимических методов невозможно. Оценка степени загрязнения водоема по составу живых организмов позволяет быстро установить его санитарное состояние, определить степень и характер загрязнения и пути его распространения в водоеме, а также дать количественную характеристику протекания процессов естественного самоочищения.</w:t>
      </w:r>
    </w:p>
    <w:p w:rsidR="00173066" w:rsidRPr="005125AF" w:rsidRDefault="00173066" w:rsidP="00173066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Планктон - совокупность живых обитателей водоема, не способных активно передвигаться или медленно передвигающихся, но не противостоящих токам воды.</w:t>
      </w:r>
    </w:p>
    <w:p w:rsidR="00173066" w:rsidRDefault="00173066" w:rsidP="00173066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 xml:space="preserve">Фитопланктон - совокупность растительных организмов водоема, не способных активно передвигаться, - важнейший компонент водных систем, активно участвует в формировании качества воды и является чутким показателем состояния водных экосистем и водоема в целом. 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Каждая группа организмов в качестве биологического индикатора имеет свои преимущества и недостатки, которые определяют границы ее использования при решении задач биоиндикации.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Водорослям принадлежит ведущая роль в индикации изменения качества воды в результате эвтрофирования (заболачивания) водоема.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Зоопланктон также достаточно показателен как индикатор эвтрофирования и загрязнения (в частности органического и нитратного) вод. Кроме этого, среди зоопланктона встречаются и представители патогенной фауны, ограничивающей использование водного объекта в целях водоснабжения.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Простейшие являются высокочувствительными индикаторами сапробного состояния водоемов.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Зообентос - совокупность животных, обитающих на дне и в придонных слоях воды, служит хорошим индикатором загрязнения донных отложений и придонного слоя воды. Наиболее достоверными индикаторами среди них служат легочные моллюски, особенно катушки и речные чашечки. Положительные результаты дает также оценка качества воды по личинкам насекомых. Свободно живущие личинки ручейников, а также поденок являются наиболее чувствительными организмами.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 xml:space="preserve">Значение макрофитов (высшая водная растительность) наиболее существенно при предварительном гидробиологическом осмотре водных объектов. При загрязнении водоемов изменяется видовой состав, биомасса и продукция макрофитов, возникают морфологические аномалии, происходит смена доминантных видов, обусловливающих особенности ценоза. Данные по ихтиофауне важны при оценке состояния водного объекта в целом </w:t>
      </w:r>
      <w:r w:rsidR="004C13F4" w:rsidRPr="005125AF">
        <w:rPr>
          <w:sz w:val="28"/>
          <w:szCs w:val="28"/>
        </w:rPr>
        <w:t>и,</w:t>
      </w:r>
      <w:r w:rsidRPr="005125AF">
        <w:rPr>
          <w:sz w:val="28"/>
          <w:szCs w:val="28"/>
        </w:rPr>
        <w:t xml:space="preserve"> особенно при определении допустимых уровней загрязнения водных объектов, имеющих рыбохозяйственное значение.</w:t>
      </w:r>
    </w:p>
    <w:p w:rsidR="003F1091" w:rsidRDefault="00145E1D" w:rsidP="004A7F83">
      <w:pPr>
        <w:spacing w:line="360" w:lineRule="auto"/>
        <w:ind w:right="-5" w:firstLine="720"/>
        <w:jc w:val="both"/>
        <w:rPr>
          <w:sz w:val="28"/>
        </w:rPr>
      </w:pPr>
      <w:r w:rsidRPr="00145E1D">
        <w:rPr>
          <w:i/>
          <w:iCs/>
          <w:sz w:val="28"/>
          <w:szCs w:val="28"/>
        </w:rPr>
        <w:t xml:space="preserve">Зоны сапробности. </w:t>
      </w:r>
      <w:r w:rsidRPr="00145E1D">
        <w:rPr>
          <w:sz w:val="28"/>
          <w:szCs w:val="28"/>
        </w:rPr>
        <w:t>Под сапробностью принято понимать степень распада органических веществ в загрязненных водах. Распад органических загрязнений в водоеме приводит к потреблению кислорода и накоплению ядовитых продуктов распада (углекислота, сероводород, органические кислоты и др.). Способность организмов обитать в условиях разной степени сапробности объясняются потребностью в органическом питании и выносливостью к вредным веществам, образующимся в процессе разложения органического вещества.</w:t>
      </w:r>
      <w:r w:rsidR="003F1091" w:rsidRPr="003F1091">
        <w:rPr>
          <w:sz w:val="28"/>
        </w:rPr>
        <w:t xml:space="preserve"> </w:t>
      </w:r>
    </w:p>
    <w:p w:rsidR="003F1091" w:rsidRDefault="003F1091" w:rsidP="004A7F8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полисапробной зоне водоема органических веществ много, кислорода нет. Здесь происходит расщепление белков и углеводов.</w:t>
      </w:r>
    </w:p>
    <w:p w:rsidR="003F1091" w:rsidRDefault="003F1091" w:rsidP="004A7F8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мезосапробной зоне нет неразложившихся белков, есть сероводород, диоксид углерода и кислород. Происходит минерализация органических веществ. Есть различия между альфа - и бета-мезосапробной зонами. Вода в альфа-мезосапробной зоне умеренно загрязнена органическими веществами, есть аммиак и аминосоединения, кислорода мало. В бета-мезосапробной зоне органических загрязнителей мало; кроме аммиака есть продукты его окисления - азотная и азотистая кислоты, много кислорода.</w:t>
      </w:r>
    </w:p>
    <w:p w:rsidR="00145E1D" w:rsidRPr="003F1091" w:rsidRDefault="003F1091" w:rsidP="004A7F83">
      <w:pPr>
        <w:spacing w:line="360" w:lineRule="auto"/>
        <w:ind w:firstLine="72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>В олигосапробной зоне практически нет растворенных органических веществ, кислорода много, вода чистая.</w:t>
      </w:r>
    </w:p>
    <w:p w:rsidR="00145E1D" w:rsidRDefault="00145E1D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145E1D">
        <w:rPr>
          <w:sz w:val="28"/>
          <w:szCs w:val="28"/>
        </w:rPr>
        <w:t>В водоеме сапробность развивается в двух противоположных направлениях. Первое -</w:t>
      </w:r>
      <w:r>
        <w:rPr>
          <w:sz w:val="28"/>
          <w:szCs w:val="28"/>
        </w:rPr>
        <w:t xml:space="preserve"> </w:t>
      </w:r>
      <w:r w:rsidRPr="00145E1D">
        <w:rPr>
          <w:sz w:val="28"/>
          <w:szCs w:val="28"/>
        </w:rPr>
        <w:t xml:space="preserve">от чистого водоема к загрязненному: олиго-сапробность </w:t>
      </w:r>
      <w:r w:rsidRPr="00145E1D">
        <w:rPr>
          <w:sz w:val="28"/>
          <w:szCs w:val="28"/>
        </w:rPr>
        <w:sym w:font="Symbol" w:char="F0AE"/>
      </w:r>
      <w:r w:rsidRPr="00145E1D">
        <w:rPr>
          <w:sz w:val="28"/>
          <w:szCs w:val="28"/>
        </w:rPr>
        <w:t xml:space="preserve"> бета-мезосапробность </w:t>
      </w:r>
      <w:r w:rsidRPr="00145E1D">
        <w:rPr>
          <w:sz w:val="28"/>
          <w:szCs w:val="28"/>
        </w:rPr>
        <w:sym w:font="Symbol" w:char="F0AE"/>
      </w:r>
      <w:r w:rsidRPr="00145E1D">
        <w:rPr>
          <w:sz w:val="28"/>
          <w:szCs w:val="28"/>
        </w:rPr>
        <w:t xml:space="preserve"> альфа-мезосапробность </w:t>
      </w:r>
      <w:r w:rsidRPr="00145E1D">
        <w:rPr>
          <w:sz w:val="28"/>
          <w:szCs w:val="28"/>
        </w:rPr>
        <w:sym w:font="Symbol" w:char="F0AE"/>
      </w:r>
      <w:r w:rsidRPr="00145E1D">
        <w:rPr>
          <w:sz w:val="28"/>
          <w:szCs w:val="28"/>
        </w:rPr>
        <w:t xml:space="preserve">   полисапробность. Второе - в обратном направлении - от загрязненного водоема к чистому, это результат процессов самоочищения (табл.</w:t>
      </w:r>
      <w:r w:rsidR="003F1091">
        <w:rPr>
          <w:sz w:val="28"/>
          <w:szCs w:val="28"/>
        </w:rPr>
        <w:t xml:space="preserve"> 1</w:t>
      </w:r>
      <w:r w:rsidRPr="00145E1D">
        <w:rPr>
          <w:sz w:val="28"/>
          <w:szCs w:val="28"/>
        </w:rPr>
        <w:t>).</w:t>
      </w:r>
    </w:p>
    <w:p w:rsidR="00461744" w:rsidRDefault="00461744" w:rsidP="00461744">
      <w:pPr>
        <w:ind w:left="12420"/>
        <w:jc w:val="center"/>
        <w:rPr>
          <w:bCs/>
          <w:sz w:val="28"/>
          <w:szCs w:val="28"/>
        </w:rPr>
        <w:sectPr w:rsidR="00461744" w:rsidSect="004C13F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461744" w:rsidRPr="00C5007A" w:rsidRDefault="00461744" w:rsidP="00461744">
      <w:pPr>
        <w:ind w:left="12420"/>
        <w:jc w:val="center"/>
        <w:rPr>
          <w:bCs/>
          <w:sz w:val="28"/>
          <w:szCs w:val="28"/>
        </w:rPr>
      </w:pPr>
      <w:r w:rsidRPr="00C5007A">
        <w:rPr>
          <w:bCs/>
          <w:sz w:val="28"/>
          <w:szCs w:val="28"/>
        </w:rPr>
        <w:t>Таблица 1.</w:t>
      </w:r>
    </w:p>
    <w:p w:rsidR="00461744" w:rsidRDefault="00461744" w:rsidP="00461744">
      <w:pPr>
        <w:jc w:val="center"/>
        <w:rPr>
          <w:b/>
          <w:bCs/>
        </w:rPr>
      </w:pPr>
      <w:r w:rsidRPr="00C5007A">
        <w:rPr>
          <w:b/>
          <w:bCs/>
          <w:sz w:val="28"/>
          <w:szCs w:val="28"/>
        </w:rPr>
        <w:t>Основная характеристика зон сапробности.</w:t>
      </w:r>
    </w:p>
    <w:p w:rsidR="00461744" w:rsidRDefault="00461744" w:rsidP="00461744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2920"/>
        <w:gridCol w:w="37"/>
        <w:gridCol w:w="2956"/>
        <w:gridCol w:w="2940"/>
        <w:gridCol w:w="19"/>
        <w:gridCol w:w="2957"/>
      </w:tblGrid>
      <w:tr w:rsidR="00461744">
        <w:trPr>
          <w:cantSplit/>
        </w:trPr>
        <w:tc>
          <w:tcPr>
            <w:tcW w:w="2957" w:type="dxa"/>
            <w:vMerge w:val="restart"/>
          </w:tcPr>
          <w:p w:rsidR="00461744" w:rsidRDefault="00461744" w:rsidP="001558AC">
            <w:pPr>
              <w:jc w:val="center"/>
            </w:pPr>
            <w:r>
              <w:t>Показатель</w:t>
            </w:r>
          </w:p>
        </w:tc>
        <w:tc>
          <w:tcPr>
            <w:tcW w:w="11829" w:type="dxa"/>
            <w:gridSpan w:val="6"/>
          </w:tcPr>
          <w:p w:rsidR="00461744" w:rsidRDefault="00461744" w:rsidP="001558AC">
            <w:pPr>
              <w:jc w:val="center"/>
            </w:pPr>
            <w:r>
              <w:t>Зона</w:t>
            </w:r>
          </w:p>
        </w:tc>
      </w:tr>
      <w:tr w:rsidR="00461744">
        <w:trPr>
          <w:cantSplit/>
        </w:trPr>
        <w:tc>
          <w:tcPr>
            <w:tcW w:w="2957" w:type="dxa"/>
            <w:vMerge/>
          </w:tcPr>
          <w:p w:rsidR="00461744" w:rsidRDefault="00461744" w:rsidP="001558AC">
            <w:pPr>
              <w:jc w:val="center"/>
            </w:pPr>
          </w:p>
        </w:tc>
        <w:tc>
          <w:tcPr>
            <w:tcW w:w="2957" w:type="dxa"/>
            <w:gridSpan w:val="2"/>
          </w:tcPr>
          <w:p w:rsidR="00461744" w:rsidRDefault="00461744" w:rsidP="001558AC">
            <w:pPr>
              <w:jc w:val="center"/>
            </w:pPr>
            <w:r>
              <w:t>полисапробная</w:t>
            </w:r>
          </w:p>
        </w:tc>
        <w:tc>
          <w:tcPr>
            <w:tcW w:w="2956" w:type="dxa"/>
          </w:tcPr>
          <w:p w:rsidR="00461744" w:rsidRDefault="00461744" w:rsidP="001558AC">
            <w:pPr>
              <w:jc w:val="center"/>
            </w:pPr>
            <w:r>
              <w:t>альфа-мезосапробная</w:t>
            </w:r>
          </w:p>
        </w:tc>
        <w:tc>
          <w:tcPr>
            <w:tcW w:w="2959" w:type="dxa"/>
            <w:gridSpan w:val="2"/>
          </w:tcPr>
          <w:p w:rsidR="00461744" w:rsidRDefault="00461744" w:rsidP="001558AC">
            <w:pPr>
              <w:jc w:val="center"/>
            </w:pPr>
            <w:r>
              <w:t>бета-мезосапробная</w:t>
            </w:r>
          </w:p>
        </w:tc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олигосапробная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Кислородные условия</w:t>
            </w:r>
          </w:p>
        </w:tc>
        <w:tc>
          <w:tcPr>
            <w:tcW w:w="2957" w:type="dxa"/>
            <w:gridSpan w:val="2"/>
          </w:tcPr>
          <w:p w:rsidR="00461744" w:rsidRDefault="00461744" w:rsidP="001558AC">
            <w:pPr>
              <w:jc w:val="center"/>
            </w:pPr>
            <w:r>
              <w:t>Анаэробные</w:t>
            </w:r>
          </w:p>
        </w:tc>
        <w:tc>
          <w:tcPr>
            <w:tcW w:w="2956" w:type="dxa"/>
          </w:tcPr>
          <w:p w:rsidR="00461744" w:rsidRDefault="00461744" w:rsidP="001558AC">
            <w:pPr>
              <w:jc w:val="center"/>
            </w:pPr>
            <w:r>
              <w:t>Полуанаэробы</w:t>
            </w:r>
          </w:p>
        </w:tc>
        <w:tc>
          <w:tcPr>
            <w:tcW w:w="5916" w:type="dxa"/>
            <w:gridSpan w:val="3"/>
          </w:tcPr>
          <w:p w:rsidR="00461744" w:rsidRDefault="00461744" w:rsidP="001558AC">
            <w:pPr>
              <w:jc w:val="center"/>
            </w:pPr>
            <w:r>
              <w:t>Аэробные</w:t>
            </w:r>
          </w:p>
        </w:tc>
      </w:tr>
      <w:tr w:rsidR="00461744">
        <w:trPr>
          <w:cantSplit/>
          <w:trHeight w:val="64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Азотистые соединения</w:t>
            </w:r>
          </w:p>
        </w:tc>
        <w:tc>
          <w:tcPr>
            <w:tcW w:w="2957" w:type="dxa"/>
            <w:gridSpan w:val="2"/>
          </w:tcPr>
          <w:p w:rsidR="00461744" w:rsidRDefault="00461744" w:rsidP="001558AC">
            <w:pPr>
              <w:jc w:val="center"/>
            </w:pPr>
            <w:r>
              <w:t>Белковые вещества</w:t>
            </w:r>
          </w:p>
        </w:tc>
        <w:tc>
          <w:tcPr>
            <w:tcW w:w="2956" w:type="dxa"/>
          </w:tcPr>
          <w:p w:rsidR="00461744" w:rsidRDefault="00461744" w:rsidP="001558AC">
            <w:pPr>
              <w:jc w:val="center"/>
            </w:pPr>
            <w:r>
              <w:t>Аммиак, аминокислоты</w:t>
            </w:r>
          </w:p>
        </w:tc>
        <w:tc>
          <w:tcPr>
            <w:tcW w:w="2959" w:type="dxa"/>
            <w:gridSpan w:val="2"/>
            <w:tcBorders>
              <w:right w:val="single" w:sz="4" w:space="0" w:color="auto"/>
            </w:tcBorders>
          </w:tcPr>
          <w:p w:rsidR="00461744" w:rsidRDefault="00461744" w:rsidP="001558AC">
            <w:pPr>
              <w:jc w:val="center"/>
            </w:pPr>
            <w:r>
              <w:t>Аммонийные соли, нитриты, нитраты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461744" w:rsidRDefault="00461744" w:rsidP="001558AC">
            <w:pPr>
              <w:jc w:val="center"/>
            </w:pPr>
            <w:r>
              <w:t>Нитраты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Сероводород</w:t>
            </w:r>
          </w:p>
        </w:tc>
        <w:tc>
          <w:tcPr>
            <w:tcW w:w="2957" w:type="dxa"/>
            <w:gridSpan w:val="2"/>
          </w:tcPr>
          <w:p w:rsidR="00461744" w:rsidRDefault="00461744" w:rsidP="001558AC">
            <w:pPr>
              <w:jc w:val="center"/>
            </w:pPr>
            <w:r>
              <w:t>Много</w:t>
            </w:r>
          </w:p>
        </w:tc>
        <w:tc>
          <w:tcPr>
            <w:tcW w:w="2956" w:type="dxa"/>
          </w:tcPr>
          <w:p w:rsidR="00461744" w:rsidRDefault="00461744" w:rsidP="001558AC">
            <w:pPr>
              <w:jc w:val="center"/>
            </w:pPr>
            <w:r>
              <w:t>Порядочно</w:t>
            </w:r>
          </w:p>
        </w:tc>
        <w:tc>
          <w:tcPr>
            <w:tcW w:w="2959" w:type="dxa"/>
            <w:gridSpan w:val="2"/>
            <w:tcBorders>
              <w:right w:val="single" w:sz="4" w:space="0" w:color="auto"/>
            </w:tcBorders>
          </w:tcPr>
          <w:p w:rsidR="00461744" w:rsidRDefault="00461744" w:rsidP="001558AC">
            <w:pPr>
              <w:jc w:val="center"/>
            </w:pPr>
            <w:r>
              <w:t>Мало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461744" w:rsidRDefault="00461744" w:rsidP="001558AC">
            <w:pPr>
              <w:jc w:val="center"/>
            </w:pPr>
            <w:r>
              <w:t>Нет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Загниваемость</w:t>
            </w:r>
          </w:p>
        </w:tc>
        <w:tc>
          <w:tcPr>
            <w:tcW w:w="5913" w:type="dxa"/>
            <w:gridSpan w:val="3"/>
          </w:tcPr>
          <w:p w:rsidR="00461744" w:rsidRDefault="00461744" w:rsidP="001558AC">
            <w:pPr>
              <w:jc w:val="center"/>
            </w:pPr>
            <w:r>
              <w:t>Загнивает</w:t>
            </w:r>
          </w:p>
        </w:tc>
        <w:tc>
          <w:tcPr>
            <w:tcW w:w="5916" w:type="dxa"/>
            <w:gridSpan w:val="3"/>
          </w:tcPr>
          <w:p w:rsidR="00461744" w:rsidRDefault="00461744" w:rsidP="001558AC">
            <w:pPr>
              <w:jc w:val="center"/>
            </w:pPr>
            <w:r>
              <w:t>Не загнивает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Содержание бактерий в 1 мл воды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Сотни, тысячи, миллионы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Сотни тысяч</w:t>
            </w:r>
          </w:p>
        </w:tc>
        <w:tc>
          <w:tcPr>
            <w:tcW w:w="2940" w:type="dxa"/>
          </w:tcPr>
          <w:p w:rsidR="00461744" w:rsidRDefault="00461744" w:rsidP="001558AC">
            <w:pPr>
              <w:jc w:val="center"/>
            </w:pPr>
            <w:r>
              <w:t>Десятки тысяч</w:t>
            </w:r>
          </w:p>
        </w:tc>
        <w:tc>
          <w:tcPr>
            <w:tcW w:w="2976" w:type="dxa"/>
            <w:gridSpan w:val="2"/>
          </w:tcPr>
          <w:p w:rsidR="00461744" w:rsidRDefault="00461744" w:rsidP="001558AC">
            <w:pPr>
              <w:jc w:val="center"/>
            </w:pPr>
            <w:r>
              <w:t>Сотни, десятки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Преобладание отдельных видов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Очень сильное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Сильное</w:t>
            </w:r>
          </w:p>
        </w:tc>
        <w:tc>
          <w:tcPr>
            <w:tcW w:w="2940" w:type="dxa"/>
          </w:tcPr>
          <w:p w:rsidR="00461744" w:rsidRDefault="00461744" w:rsidP="001558AC">
            <w:pPr>
              <w:jc w:val="center"/>
            </w:pPr>
            <w:r>
              <w:t>Слабое</w:t>
            </w:r>
          </w:p>
        </w:tc>
        <w:tc>
          <w:tcPr>
            <w:tcW w:w="2976" w:type="dxa"/>
            <w:gridSpan w:val="2"/>
          </w:tcPr>
          <w:p w:rsidR="00461744" w:rsidRDefault="00461744" w:rsidP="001558AC">
            <w:pPr>
              <w:jc w:val="center"/>
            </w:pPr>
            <w:r>
              <w:t>Обычно слабое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Разнообразие видов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Очень малое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Небольшое</w:t>
            </w:r>
          </w:p>
        </w:tc>
        <w:tc>
          <w:tcPr>
            <w:tcW w:w="2940" w:type="dxa"/>
          </w:tcPr>
          <w:p w:rsidR="00461744" w:rsidRDefault="00461744" w:rsidP="001558AC">
            <w:pPr>
              <w:jc w:val="center"/>
            </w:pPr>
            <w:r>
              <w:t>Значительное</w:t>
            </w:r>
          </w:p>
        </w:tc>
        <w:tc>
          <w:tcPr>
            <w:tcW w:w="2976" w:type="dxa"/>
            <w:gridSpan w:val="2"/>
          </w:tcPr>
          <w:p w:rsidR="00461744" w:rsidRDefault="00461744" w:rsidP="001558AC">
            <w:pPr>
              <w:jc w:val="center"/>
            </w:pPr>
            <w:r>
              <w:t>Очень большое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Количественное богатство форм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Часто высокое или низкое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Очень высокое</w:t>
            </w:r>
          </w:p>
        </w:tc>
        <w:tc>
          <w:tcPr>
            <w:tcW w:w="2940" w:type="dxa"/>
          </w:tcPr>
          <w:p w:rsidR="00461744" w:rsidRDefault="00461744" w:rsidP="001558AC">
            <w:pPr>
              <w:jc w:val="center"/>
            </w:pPr>
            <w:r>
              <w:t>»</w:t>
            </w:r>
          </w:p>
        </w:tc>
        <w:tc>
          <w:tcPr>
            <w:tcW w:w="2976" w:type="dxa"/>
            <w:gridSpan w:val="2"/>
          </w:tcPr>
          <w:p w:rsidR="00461744" w:rsidRDefault="00461744" w:rsidP="001558AC">
            <w:pPr>
              <w:jc w:val="center"/>
            </w:pPr>
            <w:r>
              <w:t>Невысокое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Смена сообществ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Катастрофическая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Часто катастрофическая</w:t>
            </w:r>
          </w:p>
        </w:tc>
        <w:tc>
          <w:tcPr>
            <w:tcW w:w="5916" w:type="dxa"/>
            <w:gridSpan w:val="3"/>
          </w:tcPr>
          <w:p w:rsidR="00461744" w:rsidRDefault="00461744" w:rsidP="001558AC">
            <w:pPr>
              <w:jc w:val="center"/>
            </w:pPr>
            <w:r>
              <w:t>Довольно медленная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Потребность организмов в кислороде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Ничтожная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Слабая</w:t>
            </w:r>
          </w:p>
        </w:tc>
        <w:tc>
          <w:tcPr>
            <w:tcW w:w="2940" w:type="dxa"/>
          </w:tcPr>
          <w:p w:rsidR="00461744" w:rsidRDefault="00461744" w:rsidP="001558AC">
            <w:pPr>
              <w:jc w:val="center"/>
            </w:pPr>
            <w:r>
              <w:t>Большая</w:t>
            </w:r>
          </w:p>
        </w:tc>
        <w:tc>
          <w:tcPr>
            <w:tcW w:w="2976" w:type="dxa"/>
            <w:gridSpan w:val="2"/>
          </w:tcPr>
          <w:p w:rsidR="00461744" w:rsidRDefault="00461744" w:rsidP="001558AC">
            <w:pPr>
              <w:jc w:val="center"/>
            </w:pPr>
            <w:r>
              <w:t>Очень большая</w:t>
            </w:r>
          </w:p>
        </w:tc>
      </w:tr>
      <w:tr w:rsidR="00461744">
        <w:trPr>
          <w:cantSplit/>
          <w:trHeight w:val="500"/>
        </w:trPr>
        <w:tc>
          <w:tcPr>
            <w:tcW w:w="2957" w:type="dxa"/>
          </w:tcPr>
          <w:p w:rsidR="00461744" w:rsidRDefault="00461744" w:rsidP="001558AC">
            <w:pPr>
              <w:jc w:val="center"/>
            </w:pPr>
            <w:r>
              <w:t>Главные группы организмов</w:t>
            </w:r>
          </w:p>
        </w:tc>
        <w:tc>
          <w:tcPr>
            <w:tcW w:w="2920" w:type="dxa"/>
          </w:tcPr>
          <w:p w:rsidR="00461744" w:rsidRDefault="00461744" w:rsidP="001558AC">
            <w:pPr>
              <w:jc w:val="center"/>
            </w:pPr>
            <w:r>
              <w:t>Бактерии, бесцветные жгутиковые, серные бактерии, инфузории</w:t>
            </w:r>
          </w:p>
        </w:tc>
        <w:tc>
          <w:tcPr>
            <w:tcW w:w="2993" w:type="dxa"/>
            <w:gridSpan w:val="2"/>
          </w:tcPr>
          <w:p w:rsidR="00461744" w:rsidRDefault="00461744" w:rsidP="001558AC">
            <w:pPr>
              <w:jc w:val="center"/>
            </w:pPr>
            <w:r>
              <w:t>Грибы, бактерии, инфузории, сине-зеленные водоросли, зеленые жгутиковые</w:t>
            </w:r>
          </w:p>
        </w:tc>
        <w:tc>
          <w:tcPr>
            <w:tcW w:w="2940" w:type="dxa"/>
          </w:tcPr>
          <w:p w:rsidR="00461744" w:rsidRDefault="00461744" w:rsidP="001558AC">
            <w:pPr>
              <w:jc w:val="center"/>
            </w:pPr>
            <w:r>
              <w:t>Сине-зеленные водоросли, диатомовые водоросли, зеленые водоросли, зеленые жгутиковые, инфузории, коловратки, ракообразные, рыбы</w:t>
            </w:r>
          </w:p>
        </w:tc>
        <w:tc>
          <w:tcPr>
            <w:tcW w:w="2976" w:type="dxa"/>
            <w:gridSpan w:val="2"/>
          </w:tcPr>
          <w:p w:rsidR="00461744" w:rsidRDefault="00461744" w:rsidP="001558AC">
            <w:pPr>
              <w:jc w:val="center"/>
            </w:pPr>
            <w:r>
              <w:t>Зеленые водоросли, диатомовые водоросли, перидинеи, хризомонады, коловратки, мшанки, губки, ракообразные, рыбы</w:t>
            </w:r>
          </w:p>
        </w:tc>
      </w:tr>
    </w:tbl>
    <w:p w:rsidR="00461744" w:rsidRDefault="00461744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  <w:sectPr w:rsidR="00461744" w:rsidSect="004C13F4">
          <w:pgSz w:w="16838" w:h="11906" w:orient="landscape"/>
          <w:pgMar w:top="851" w:right="1134" w:bottom="1701" w:left="1134" w:header="709" w:footer="709" w:gutter="0"/>
          <w:pgNumType w:start="7"/>
          <w:cols w:space="708"/>
          <w:docGrid w:linePitch="360"/>
        </w:sectPr>
      </w:pPr>
    </w:p>
    <w:p w:rsidR="00145E1D" w:rsidRPr="00145E1D" w:rsidRDefault="00145E1D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145E1D">
        <w:rPr>
          <w:sz w:val="28"/>
          <w:szCs w:val="28"/>
        </w:rPr>
        <w:t>Чистые водоемы населяют пресноводные моллюски, личинки веснянок, личинки мошек, двустворчатые моллюски-шаровки, битинии, лужанки, личинки стрекоз и пиявки.</w:t>
      </w:r>
    </w:p>
    <w:p w:rsidR="00145E1D" w:rsidRDefault="00145E1D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145E1D">
        <w:rPr>
          <w:sz w:val="28"/>
          <w:szCs w:val="28"/>
        </w:rPr>
        <w:t>Чрезмерно загрязнение водоемы заселяют малощетинковые кольчецы, личинки комара-звонца и ильиной мухи.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При сбросе в водоем токсических веществ, содержащихся в промышленных сточных водах, происходит угнетение и обеднение фитопланктона. При обогащении водоемов биогенными веществами, содержащимися, например, в бытовых стоках, значительно повышается продуктивность фитопланктона. При перегрузке водоемов биогенами возникает бурное развитие планктонных водорослей, окрашивающих воду в зеленый, сине-зеленый, золотистый, бурый или красный цвета ("цветение" воды). "Цветение" воды наступает при наличии благоприятных внешних условий для развития одного, редко двух-трех видов. При разложении избыточной биомассы, выделяется сероводород или другие токсичные вещества. Это может приводить к гибели зооценозов водоема и делает воду непригодной для питья. Многие планктонные водоросли в процессе жизнедеятельности нередко выделяют токсичные вещества. Увеличение в водоемах содержания биогенных веществ в результате хозяйственной деятельности человека, сопровождаемые чрезмерным развитием фитопланктона, называют антропогенным эвтрофированием водоемов.</w:t>
      </w:r>
    </w:p>
    <w:p w:rsidR="002F18A1" w:rsidRDefault="002F18A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</w:p>
    <w:p w:rsidR="00145E1D" w:rsidRDefault="00145E1D" w:rsidP="00173066">
      <w:pPr>
        <w:pStyle w:val="3"/>
        <w:spacing w:after="0"/>
        <w:ind w:firstLine="550"/>
        <w:jc w:val="both"/>
        <w:rPr>
          <w:sz w:val="28"/>
          <w:szCs w:val="28"/>
        </w:rPr>
      </w:pPr>
    </w:p>
    <w:p w:rsidR="00145E1D" w:rsidRDefault="00001F47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БИОТЕСТИРОВАНИЯ.</w:t>
      </w:r>
    </w:p>
    <w:p w:rsidR="002F18A1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Проведение биологических исследований имеет свои особенности в стоячих и текущих водоемах.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Для изучения рек и ручьев большое значение имеют перифитонные организмы, те, которые дают картину общего состояния воды за достаточно длительный промежуток времени, предшествующий исследованию. Быстрые колебания степени загрязнения воды плохо уловимы с помощью перифитона и для их наблюдения лучше подходят гидрохимические и бактериологические методы.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Также случайные загрязнения местного характера легче всего могут повлиять на характер населения дна (т.е. организмов бентоса) в таких водоемах.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Это обстоятельство заставляет при исследовании рек обращать внимание на быстрые места их течения - перекаты, плотины и т. д. Если мы хотим получить представление об общем состоянии реки, то станции необходимо выбирать именно здесь. Если же нас интересуют разовые или местные загрязнения необходимо исследовать обитателей дна в местах со слабым течением - в заводях, бочагах и т.п. После впадения в реку тех или иных загрязненных стоков последние сносятся течением вниз по реке и откладываются в более глубоких местах реки с замедленным течением.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Биологическое исследование стоячих водоемов, как правило, интерпретируется более легко. Здесь, прежде всего, необходимо проведение комплексных исследований с тем, чтобы иметь более полное представление о состоянии водоема. Чем крупнее исследуемый водоем, тем большее количество разнообразных станций надо выбирать по его периметру.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125AF">
        <w:rPr>
          <w:sz w:val="28"/>
          <w:szCs w:val="28"/>
        </w:rPr>
        <w:t>Почти любое использование воды влияет на ее качество. Использованная вода обычно возвращается в реки или отстойники для восстановления. Это может оказать нежелательное влияние на жизнь, если использованная вода будет сильно отличаться от естественной.</w:t>
      </w:r>
    </w:p>
    <w:p w:rsidR="003F1091" w:rsidRPr="003F1091" w:rsidRDefault="003F1091" w:rsidP="004A7F83">
      <w:pPr>
        <w:pStyle w:val="3"/>
        <w:tabs>
          <w:tab w:val="left" w:pos="720"/>
        </w:tabs>
        <w:spacing w:after="0" w:line="360" w:lineRule="auto"/>
        <w:ind w:firstLine="720"/>
        <w:jc w:val="both"/>
        <w:rPr>
          <w:bCs/>
          <w:sz w:val="28"/>
          <w:szCs w:val="28"/>
        </w:rPr>
      </w:pPr>
      <w:r w:rsidRPr="003F1091">
        <w:rPr>
          <w:bCs/>
          <w:sz w:val="28"/>
          <w:szCs w:val="28"/>
        </w:rPr>
        <w:t>Сообщества зообентоса являются мониторными протекающей над ними воды, поскольку достаточно стабильно связаны с определенными биотопами в течение длительных отрезков времени, а загрязнения в наибольшей степени концентрируются в придонных слоях воды.</w:t>
      </w:r>
    </w:p>
    <w:p w:rsidR="003F1091" w:rsidRPr="003F1091" w:rsidRDefault="003F1091" w:rsidP="004A7F83">
      <w:pPr>
        <w:pStyle w:val="3"/>
        <w:tabs>
          <w:tab w:val="left" w:pos="720"/>
        </w:tabs>
        <w:spacing w:after="0" w:line="360" w:lineRule="auto"/>
        <w:ind w:firstLine="720"/>
        <w:jc w:val="both"/>
        <w:rPr>
          <w:b/>
          <w:bCs/>
          <w:sz w:val="28"/>
          <w:szCs w:val="28"/>
        </w:rPr>
      </w:pPr>
      <w:r w:rsidRPr="003F1091">
        <w:rPr>
          <w:bCs/>
          <w:sz w:val="28"/>
          <w:szCs w:val="28"/>
        </w:rPr>
        <w:t>Общепринято, что оценка степени загрязнения водоемов по показательным организмам и их видовому разнообразию более объективна. Однако для оценки качества воды необходимо учитывать и региональную оценку.</w:t>
      </w:r>
      <w:r w:rsidRPr="003F1091">
        <w:rPr>
          <w:b/>
          <w:bCs/>
          <w:sz w:val="28"/>
          <w:szCs w:val="28"/>
        </w:rPr>
        <w:tab/>
      </w:r>
    </w:p>
    <w:p w:rsidR="003F1091" w:rsidRPr="003F1091" w:rsidRDefault="003F1091" w:rsidP="004A7F8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>Количество участков реки, выбираемых для обследования, определяется целями работы. При исследовании качества воды на всем протяжении водотока места отбора проб выбирают через равные интервалы от истока до устья.</w:t>
      </w:r>
    </w:p>
    <w:p w:rsidR="003F1091" w:rsidRPr="003F1091" w:rsidRDefault="003F1091" w:rsidP="004A7F8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>При выборе участков отбора проб следует учитывать ряд условий. На них не должно быть мелководий с густой водной растительностью, а также затонов с застойной водой. И в том, и в другом случае донное население может значительно отличатся от такового на участках реки с нормальной скоростью течения воды.</w:t>
      </w:r>
    </w:p>
    <w:p w:rsidR="003F1091" w:rsidRPr="003F1091" w:rsidRDefault="003F1091" w:rsidP="004A7F8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>Очень важно, чтобы в пробах на каждом из обследованных участков были представлены донные организмы различных биотопов: илистых, песчаных и каменистых грунтов. Чем разнообразнее участок по числу местообитаний, тем число проб должно быть больше. Но и на участках с однообразным дном число проб должно быть не менее трех.</w:t>
      </w:r>
    </w:p>
    <w:p w:rsidR="003F1091" w:rsidRPr="003F1091" w:rsidRDefault="003F1091" w:rsidP="004A7F8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 xml:space="preserve">Пробы грунта с обитающими в нем донными организмами отбирают с помощью специальных ловушек: закидной драги и сачкового скребка. </w:t>
      </w:r>
    </w:p>
    <w:p w:rsidR="00E2192E" w:rsidRDefault="00E2192E" w:rsidP="00173066">
      <w:pPr>
        <w:pStyle w:val="3"/>
        <w:spacing w:after="0"/>
        <w:ind w:firstLine="550"/>
        <w:jc w:val="center"/>
        <w:rPr>
          <w:b/>
          <w:sz w:val="28"/>
          <w:szCs w:val="28"/>
        </w:rPr>
      </w:pPr>
    </w:p>
    <w:p w:rsidR="00001F47" w:rsidRPr="00001F47" w:rsidRDefault="00001F47" w:rsidP="004A7F83">
      <w:pPr>
        <w:pStyle w:val="3"/>
        <w:spacing w:after="0" w:line="360" w:lineRule="auto"/>
        <w:ind w:firstLine="550"/>
        <w:jc w:val="center"/>
        <w:rPr>
          <w:b/>
          <w:sz w:val="32"/>
          <w:szCs w:val="32"/>
        </w:rPr>
      </w:pPr>
      <w:r w:rsidRPr="00001F47">
        <w:rPr>
          <w:b/>
          <w:sz w:val="32"/>
          <w:szCs w:val="32"/>
        </w:rPr>
        <w:t>Оценка качества воды рек и озер по биотическому индексу.</w:t>
      </w:r>
    </w:p>
    <w:p w:rsidR="00922A19" w:rsidRPr="00922A19" w:rsidRDefault="00001F47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О чистоте воды природного водоема можно судить по видовому разнообразию и обилию животного населе</w:t>
      </w:r>
      <w:r w:rsidR="00922A19">
        <w:rPr>
          <w:sz w:val="28"/>
          <w:szCs w:val="28"/>
        </w:rPr>
        <w:t xml:space="preserve">ния. </w:t>
      </w:r>
      <w:r w:rsidR="00922A19" w:rsidRPr="00922A19">
        <w:t xml:space="preserve"> </w:t>
      </w:r>
      <w:r w:rsidR="00922A19" w:rsidRPr="00922A19">
        <w:rPr>
          <w:sz w:val="28"/>
          <w:szCs w:val="28"/>
        </w:rPr>
        <w:t>Показателем качества воды может служить биотический индекс, который определяется по количеству ключевых и сопутствующих видов беспозвоночных животных, обитающих в исследуемом водоеме. Самый высокий биотический индекс определяется числом 10, он отражает качество воды экологически чистых водоемов, вода которых содержит количество биогенных элементов и кислорода, в ней отсутствуют вредные газы и химические соединения, способные ограничить обитание беспозвоночных животных.</w:t>
      </w:r>
    </w:p>
    <w:p w:rsidR="00922A19" w:rsidRPr="00922A19" w:rsidRDefault="00922A19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922A19">
        <w:rPr>
          <w:sz w:val="28"/>
          <w:szCs w:val="28"/>
        </w:rPr>
        <w:t>Для определения биотического индекса необходимо взять пробу воды из водоема с помощью водного сачка. В исследуемой пробе определяют ключевые виды и группы сопутствующих видов. Под группой сопутствующих видов в одних случаях понимают род, или семейство, или класс беспозвоночных, в других - каждый вид.</w:t>
      </w:r>
    </w:p>
    <w:p w:rsidR="00922A19" w:rsidRDefault="00922A19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922A19">
        <w:rPr>
          <w:sz w:val="28"/>
          <w:szCs w:val="28"/>
        </w:rPr>
        <w:t>Определив количество групп и число ключевых видов, находим в таблице вертикальный столбец и горизонтальную графу и на их пересечении определяем биотиче</w:t>
      </w:r>
      <w:r>
        <w:rPr>
          <w:sz w:val="28"/>
          <w:szCs w:val="28"/>
        </w:rPr>
        <w:t>ский индекс (табл.2.).</w:t>
      </w:r>
      <w:r w:rsidRPr="00922A19">
        <w:rPr>
          <w:sz w:val="28"/>
          <w:szCs w:val="28"/>
        </w:rPr>
        <w:t xml:space="preserve"> Эта цифра и будет показателем биотического индекса данного водоема. Существенным дополнением к биотическому индексу может стать определение численности особей ключевых видов. Чем больше число особей ключевого вида, тем экологически чище водоем. Единичные особи ключевых видов свидетельствуют об ухудшении условий жизни.</w:t>
      </w:r>
      <w:r w:rsidR="00D83DF4">
        <w:rPr>
          <w:sz w:val="28"/>
          <w:szCs w:val="28"/>
        </w:rPr>
        <w:t xml:space="preserve"> В оценку БПИ включены только  виды и группы организмов, которые имеют значение для оценки качества воды.</w:t>
      </w:r>
    </w:p>
    <w:p w:rsidR="00461744" w:rsidRDefault="00461744" w:rsidP="00461744">
      <w:pPr>
        <w:ind w:left="7920"/>
        <w:rPr>
          <w:sz w:val="28"/>
          <w:szCs w:val="28"/>
        </w:rPr>
      </w:pPr>
      <w:r w:rsidRPr="00BC042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</w:t>
      </w:r>
    </w:p>
    <w:p w:rsidR="004C13F4" w:rsidRDefault="004C13F4" w:rsidP="00461744">
      <w:pPr>
        <w:ind w:left="7920"/>
        <w:rPr>
          <w:sz w:val="28"/>
          <w:szCs w:val="28"/>
        </w:rPr>
      </w:pPr>
    </w:p>
    <w:p w:rsidR="00461744" w:rsidRDefault="00461744" w:rsidP="00461744">
      <w:pPr>
        <w:jc w:val="center"/>
        <w:rPr>
          <w:b/>
          <w:sz w:val="28"/>
          <w:szCs w:val="28"/>
        </w:rPr>
      </w:pPr>
      <w:r w:rsidRPr="00BC0422">
        <w:rPr>
          <w:b/>
          <w:sz w:val="28"/>
          <w:szCs w:val="28"/>
        </w:rPr>
        <w:t>Соответствие между типами водотоков, классами качества воды и биотическим инд</w:t>
      </w:r>
      <w:r>
        <w:rPr>
          <w:b/>
          <w:sz w:val="28"/>
          <w:szCs w:val="28"/>
        </w:rPr>
        <w:t>е</w:t>
      </w:r>
      <w:r w:rsidRPr="00BC0422">
        <w:rPr>
          <w:b/>
          <w:sz w:val="28"/>
          <w:szCs w:val="28"/>
        </w:rPr>
        <w:t>ксом (БПИ).</w:t>
      </w:r>
    </w:p>
    <w:p w:rsidR="00461744" w:rsidRDefault="00461744" w:rsidP="00461744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528"/>
        <w:gridCol w:w="1620"/>
        <w:gridCol w:w="3240"/>
        <w:gridCol w:w="1183"/>
      </w:tblGrid>
      <w:tr w:rsidR="00461744">
        <w:tc>
          <w:tcPr>
            <w:tcW w:w="3528" w:type="dxa"/>
          </w:tcPr>
          <w:p w:rsidR="00461744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водотока, группа, подгруппа</w:t>
            </w:r>
          </w:p>
        </w:tc>
        <w:tc>
          <w:tcPr>
            <w:tcW w:w="1620" w:type="dxa"/>
          </w:tcPr>
          <w:p w:rsidR="00461744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качества воды</w:t>
            </w:r>
          </w:p>
        </w:tc>
        <w:tc>
          <w:tcPr>
            <w:tcW w:w="3240" w:type="dxa"/>
          </w:tcPr>
          <w:p w:rsidR="00461744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Воды</w:t>
            </w:r>
          </w:p>
        </w:tc>
        <w:tc>
          <w:tcPr>
            <w:tcW w:w="1183" w:type="dxa"/>
          </w:tcPr>
          <w:p w:rsidR="00461744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БПИ</w:t>
            </w:r>
          </w:p>
        </w:tc>
      </w:tr>
      <w:tr w:rsidR="00461744">
        <w:tc>
          <w:tcPr>
            <w:tcW w:w="3528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 w:rsidRPr="00BC0422">
              <w:rPr>
                <w:sz w:val="28"/>
                <w:szCs w:val="28"/>
              </w:rPr>
              <w:t>Чистые</w:t>
            </w:r>
            <w:r>
              <w:rPr>
                <w:sz w:val="28"/>
                <w:szCs w:val="28"/>
              </w:rPr>
              <w:t>,</w:t>
            </w:r>
            <w:r w:rsidRPr="00BC0422">
              <w:rPr>
                <w:sz w:val="28"/>
                <w:szCs w:val="28"/>
              </w:rPr>
              <w:t xml:space="preserve"> 1.1</w:t>
            </w:r>
          </w:p>
        </w:tc>
        <w:tc>
          <w:tcPr>
            <w:tcW w:w="162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24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чистые</w:t>
            </w:r>
          </w:p>
        </w:tc>
        <w:tc>
          <w:tcPr>
            <w:tcW w:w="1183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10-9</w:t>
            </w:r>
          </w:p>
        </w:tc>
      </w:tr>
      <w:tr w:rsidR="00461744">
        <w:tc>
          <w:tcPr>
            <w:tcW w:w="3528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Чистые - слабо загрязненные, 1.2-2.2.</w:t>
            </w:r>
          </w:p>
        </w:tc>
        <w:tc>
          <w:tcPr>
            <w:tcW w:w="162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24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Чистые</w:t>
            </w:r>
          </w:p>
        </w:tc>
        <w:tc>
          <w:tcPr>
            <w:tcW w:w="1183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8-7</w:t>
            </w:r>
          </w:p>
        </w:tc>
      </w:tr>
      <w:tr w:rsidR="00461744">
        <w:tc>
          <w:tcPr>
            <w:tcW w:w="3528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Умеренно-загрязненные,3</w:t>
            </w:r>
          </w:p>
        </w:tc>
        <w:tc>
          <w:tcPr>
            <w:tcW w:w="162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24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Умеренно загрязненные</w:t>
            </w:r>
          </w:p>
        </w:tc>
        <w:tc>
          <w:tcPr>
            <w:tcW w:w="1183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6-5</w:t>
            </w:r>
          </w:p>
        </w:tc>
      </w:tr>
      <w:tr w:rsidR="00461744">
        <w:tc>
          <w:tcPr>
            <w:tcW w:w="3528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Загрязненные,4</w:t>
            </w:r>
          </w:p>
        </w:tc>
        <w:tc>
          <w:tcPr>
            <w:tcW w:w="162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IY</w:t>
            </w:r>
          </w:p>
        </w:tc>
        <w:tc>
          <w:tcPr>
            <w:tcW w:w="324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Загрязненные</w:t>
            </w:r>
          </w:p>
        </w:tc>
        <w:tc>
          <w:tcPr>
            <w:tcW w:w="1183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61744">
        <w:trPr>
          <w:trHeight w:val="364"/>
        </w:trPr>
        <w:tc>
          <w:tcPr>
            <w:tcW w:w="3528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Грязные,5</w:t>
            </w:r>
          </w:p>
        </w:tc>
        <w:tc>
          <w:tcPr>
            <w:tcW w:w="162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24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Грязные</w:t>
            </w:r>
          </w:p>
        </w:tc>
        <w:tc>
          <w:tcPr>
            <w:tcW w:w="1183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</w:t>
            </w:r>
          </w:p>
        </w:tc>
      </w:tr>
      <w:tr w:rsidR="00461744">
        <w:trPr>
          <w:trHeight w:val="364"/>
        </w:trPr>
        <w:tc>
          <w:tcPr>
            <w:tcW w:w="3528" w:type="dxa"/>
          </w:tcPr>
          <w:p w:rsidR="00461744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грязные,6</w:t>
            </w:r>
          </w:p>
        </w:tc>
        <w:tc>
          <w:tcPr>
            <w:tcW w:w="162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YI</w:t>
            </w:r>
          </w:p>
        </w:tc>
        <w:tc>
          <w:tcPr>
            <w:tcW w:w="3240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грязные</w:t>
            </w:r>
          </w:p>
        </w:tc>
        <w:tc>
          <w:tcPr>
            <w:tcW w:w="1183" w:type="dxa"/>
          </w:tcPr>
          <w:p w:rsidR="00461744" w:rsidRPr="00BC0422" w:rsidRDefault="00461744" w:rsidP="001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</w:t>
            </w:r>
          </w:p>
        </w:tc>
      </w:tr>
    </w:tbl>
    <w:p w:rsidR="00461744" w:rsidRPr="00BC0422" w:rsidRDefault="00461744" w:rsidP="00461744">
      <w:pPr>
        <w:jc w:val="both"/>
        <w:rPr>
          <w:sz w:val="28"/>
          <w:szCs w:val="28"/>
        </w:rPr>
      </w:pPr>
    </w:p>
    <w:p w:rsidR="00922A19" w:rsidRDefault="00922A19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По полученным значениям БПИ определяют санитарно-экологический тип водотока и класс качества вод, принятый в системе Общегосударственной службы наблюдений и контроля (табл.3).</w:t>
      </w:r>
    </w:p>
    <w:p w:rsidR="00461744" w:rsidRDefault="00461744" w:rsidP="00461744">
      <w:pPr>
        <w:ind w:firstLine="7920"/>
        <w:rPr>
          <w:sz w:val="28"/>
          <w:szCs w:val="28"/>
        </w:rPr>
      </w:pPr>
    </w:p>
    <w:p w:rsidR="00461744" w:rsidRDefault="00461744" w:rsidP="00461744">
      <w:pPr>
        <w:ind w:firstLine="7920"/>
        <w:rPr>
          <w:sz w:val="28"/>
          <w:szCs w:val="28"/>
        </w:rPr>
      </w:pPr>
    </w:p>
    <w:p w:rsidR="00461744" w:rsidRDefault="00461744" w:rsidP="00461744">
      <w:pPr>
        <w:ind w:firstLine="7920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p w:rsidR="004C13F4" w:rsidRPr="00980F91" w:rsidRDefault="004C13F4" w:rsidP="00461744">
      <w:pPr>
        <w:ind w:firstLine="7920"/>
        <w:rPr>
          <w:sz w:val="28"/>
          <w:szCs w:val="28"/>
        </w:rPr>
      </w:pPr>
    </w:p>
    <w:p w:rsidR="00461744" w:rsidRPr="00980F91" w:rsidRDefault="00461744" w:rsidP="00461744">
      <w:pPr>
        <w:jc w:val="center"/>
        <w:rPr>
          <w:b/>
          <w:bCs/>
          <w:sz w:val="28"/>
          <w:szCs w:val="28"/>
        </w:rPr>
      </w:pPr>
      <w:r w:rsidRPr="00980F91">
        <w:rPr>
          <w:b/>
          <w:bCs/>
          <w:sz w:val="28"/>
          <w:szCs w:val="28"/>
        </w:rPr>
        <w:t>Перерасчет результатов количественного учета на значение частоты</w:t>
      </w:r>
    </w:p>
    <w:p w:rsidR="00461744" w:rsidRPr="00980F91" w:rsidRDefault="00461744" w:rsidP="00461744">
      <w:pPr>
        <w:jc w:val="center"/>
        <w:rPr>
          <w:b/>
          <w:bCs/>
          <w:sz w:val="28"/>
          <w:szCs w:val="28"/>
        </w:rPr>
      </w:pPr>
    </w:p>
    <w:p w:rsidR="00461744" w:rsidRDefault="00461744" w:rsidP="0046174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652"/>
        <w:gridCol w:w="3191"/>
      </w:tblGrid>
      <w:tr w:rsidR="00461744">
        <w:tc>
          <w:tcPr>
            <w:tcW w:w="1728" w:type="dxa"/>
            <w:tcBorders>
              <w:bottom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 xml:space="preserve">Значение частоты, </w:t>
            </w:r>
          </w:p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Зоопланктон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Макробентос</w:t>
            </w:r>
          </w:p>
        </w:tc>
      </w:tr>
      <w:tr w:rsidR="00461744"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bottom w:val="nil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Доля одного вида в общем количестве экземпляров:</w:t>
            </w:r>
          </w:p>
        </w:tc>
        <w:tc>
          <w:tcPr>
            <w:tcW w:w="3191" w:type="dxa"/>
            <w:tcBorders>
              <w:top w:val="single" w:sz="4" w:space="0" w:color="auto"/>
              <w:bottom w:val="nil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 xml:space="preserve">Количество экземпляров на площади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980F91">
                <w:rPr>
                  <w:sz w:val="28"/>
                  <w:szCs w:val="28"/>
                </w:rPr>
                <w:t>0,1 м</w:t>
              </w:r>
              <w:r w:rsidRPr="00980F91">
                <w:rPr>
                  <w:sz w:val="28"/>
                  <w:szCs w:val="28"/>
                  <w:vertAlign w:val="superscript"/>
                </w:rPr>
                <w:t>2</w:t>
              </w:r>
            </w:smartTag>
            <w:r w:rsidRPr="00980F91">
              <w:rPr>
                <w:sz w:val="28"/>
                <w:szCs w:val="28"/>
              </w:rPr>
              <w:t xml:space="preserve"> грунта водоема</w:t>
            </w:r>
          </w:p>
        </w:tc>
      </w:tr>
      <w:tr w:rsidR="00461744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1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Не более 1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1-5</w:t>
            </w:r>
          </w:p>
        </w:tc>
      </w:tr>
      <w:tr w:rsidR="00461744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2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4-10</w:t>
            </w:r>
          </w:p>
        </w:tc>
      </w:tr>
      <w:tr w:rsidR="00461744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3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4-10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11-50</w:t>
            </w:r>
          </w:p>
        </w:tc>
      </w:tr>
      <w:tr w:rsidR="00461744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5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10-20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50-150</w:t>
            </w:r>
          </w:p>
        </w:tc>
      </w:tr>
      <w:tr w:rsidR="00461744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7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20-40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150-500</w:t>
            </w:r>
          </w:p>
        </w:tc>
      </w:tr>
      <w:tr w:rsidR="00461744"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9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40-100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Свыше 500</w:t>
            </w:r>
          </w:p>
        </w:tc>
      </w:tr>
    </w:tbl>
    <w:p w:rsidR="00461744" w:rsidRDefault="00461744" w:rsidP="00461744">
      <w:pPr>
        <w:rPr>
          <w:lang w:val="en-US"/>
        </w:rPr>
      </w:pPr>
    </w:p>
    <w:p w:rsidR="00461744" w:rsidRDefault="00461744" w:rsidP="0046174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440"/>
        <w:gridCol w:w="1043"/>
        <w:gridCol w:w="2377"/>
        <w:gridCol w:w="1440"/>
        <w:gridCol w:w="1003"/>
      </w:tblGrid>
      <w:tr w:rsidR="00461744">
        <w:trPr>
          <w:cantSplit/>
          <w:trHeight w:val="1529"/>
        </w:trPr>
        <w:tc>
          <w:tcPr>
            <w:tcW w:w="2268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</w:p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Зона</w:t>
            </w:r>
          </w:p>
        </w:tc>
        <w:tc>
          <w:tcPr>
            <w:tcW w:w="1440" w:type="dxa"/>
            <w:textDirection w:val="btLr"/>
          </w:tcPr>
          <w:p w:rsidR="00461744" w:rsidRPr="00980F91" w:rsidRDefault="00461744" w:rsidP="001558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Условное обозна-чение</w:t>
            </w:r>
          </w:p>
        </w:tc>
        <w:tc>
          <w:tcPr>
            <w:tcW w:w="1043" w:type="dxa"/>
            <w:tcBorders>
              <w:right w:val="triple" w:sz="4" w:space="0" w:color="auto"/>
            </w:tcBorders>
            <w:textDirection w:val="btLr"/>
          </w:tcPr>
          <w:p w:rsidR="00461744" w:rsidRPr="00980F91" w:rsidRDefault="00461744" w:rsidP="001558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Численное значение</w:t>
            </w:r>
          </w:p>
        </w:tc>
        <w:tc>
          <w:tcPr>
            <w:tcW w:w="2377" w:type="dxa"/>
            <w:tcBorders>
              <w:left w:val="trip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</w:p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Зона</w:t>
            </w:r>
          </w:p>
        </w:tc>
        <w:tc>
          <w:tcPr>
            <w:tcW w:w="1440" w:type="dxa"/>
            <w:textDirection w:val="btLr"/>
          </w:tcPr>
          <w:p w:rsidR="00461744" w:rsidRPr="00980F91" w:rsidRDefault="00461744" w:rsidP="001558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Условное обозна-чение</w:t>
            </w:r>
          </w:p>
        </w:tc>
        <w:tc>
          <w:tcPr>
            <w:tcW w:w="1003" w:type="dxa"/>
            <w:textDirection w:val="btLr"/>
          </w:tcPr>
          <w:p w:rsidR="00461744" w:rsidRPr="00980F91" w:rsidRDefault="00461744" w:rsidP="001558AC">
            <w:pPr>
              <w:ind w:left="113" w:right="113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Численное значение</w:t>
            </w:r>
          </w:p>
        </w:tc>
      </w:tr>
      <w:tr w:rsidR="00461744">
        <w:tc>
          <w:tcPr>
            <w:tcW w:w="2268" w:type="dxa"/>
          </w:tcPr>
          <w:p w:rsidR="00461744" w:rsidRPr="00980F91" w:rsidRDefault="00461744" w:rsidP="001558AC">
            <w:pPr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Олиго-сапробная</w:t>
            </w:r>
          </w:p>
        </w:tc>
        <w:tc>
          <w:tcPr>
            <w:tcW w:w="1440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  <w:lang w:val="en-US"/>
              </w:rPr>
              <w:sym w:font="Symbol" w:char="F06F"/>
            </w:r>
          </w:p>
        </w:tc>
        <w:tc>
          <w:tcPr>
            <w:tcW w:w="1043" w:type="dxa"/>
            <w:tcBorders>
              <w:right w:val="trip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left w:val="triple" w:sz="4" w:space="0" w:color="auto"/>
            </w:tcBorders>
          </w:tcPr>
          <w:p w:rsidR="00461744" w:rsidRPr="00980F91" w:rsidRDefault="00461744" w:rsidP="001558AC">
            <w:pPr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Альфа-мезосапробная</w:t>
            </w:r>
          </w:p>
        </w:tc>
        <w:tc>
          <w:tcPr>
            <w:tcW w:w="1440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sym w:font="Symbol" w:char="F061"/>
            </w:r>
          </w:p>
        </w:tc>
        <w:tc>
          <w:tcPr>
            <w:tcW w:w="1003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3</w:t>
            </w:r>
          </w:p>
        </w:tc>
      </w:tr>
      <w:tr w:rsidR="00461744">
        <w:tc>
          <w:tcPr>
            <w:tcW w:w="2268" w:type="dxa"/>
          </w:tcPr>
          <w:p w:rsidR="00461744" w:rsidRPr="00980F91" w:rsidRDefault="00461744" w:rsidP="001558AC">
            <w:pPr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Бета-мезосапробная</w:t>
            </w:r>
          </w:p>
        </w:tc>
        <w:tc>
          <w:tcPr>
            <w:tcW w:w="1440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sym w:font="Symbol" w:char="F062"/>
            </w:r>
          </w:p>
        </w:tc>
        <w:tc>
          <w:tcPr>
            <w:tcW w:w="1043" w:type="dxa"/>
            <w:tcBorders>
              <w:right w:val="triple" w:sz="4" w:space="0" w:color="auto"/>
            </w:tcBorders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left w:val="triple" w:sz="4" w:space="0" w:color="auto"/>
            </w:tcBorders>
          </w:tcPr>
          <w:p w:rsidR="00461744" w:rsidRPr="00980F91" w:rsidRDefault="00461744" w:rsidP="001558AC">
            <w:pPr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Полисапробная</w:t>
            </w:r>
          </w:p>
        </w:tc>
        <w:tc>
          <w:tcPr>
            <w:tcW w:w="1440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sym w:font="Symbol" w:char="F072"/>
            </w:r>
          </w:p>
        </w:tc>
        <w:tc>
          <w:tcPr>
            <w:tcW w:w="1003" w:type="dxa"/>
          </w:tcPr>
          <w:p w:rsidR="00461744" w:rsidRPr="00980F91" w:rsidRDefault="00461744" w:rsidP="001558AC">
            <w:pPr>
              <w:jc w:val="center"/>
              <w:rPr>
                <w:sz w:val="28"/>
                <w:szCs w:val="28"/>
              </w:rPr>
            </w:pPr>
            <w:r w:rsidRPr="00980F91">
              <w:rPr>
                <w:sz w:val="28"/>
                <w:szCs w:val="28"/>
              </w:rPr>
              <w:t>4</w:t>
            </w:r>
          </w:p>
        </w:tc>
      </w:tr>
    </w:tbl>
    <w:p w:rsidR="00461744" w:rsidRDefault="00461744" w:rsidP="00461744"/>
    <w:p w:rsidR="00D83DF4" w:rsidRDefault="00D83DF4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Простота расчета БПИ за счет исключения из анализа некоторых групп, позволяет получить экспресс-информацию о качестве воды, как в лабораторных, так и в экспедиционных условиях.</w:t>
      </w:r>
    </w:p>
    <w:p w:rsidR="003F1091" w:rsidRDefault="003F1091" w:rsidP="00173066">
      <w:pPr>
        <w:pStyle w:val="3"/>
        <w:spacing w:after="0"/>
        <w:ind w:firstLine="550"/>
        <w:jc w:val="both"/>
        <w:rPr>
          <w:sz w:val="28"/>
          <w:szCs w:val="28"/>
        </w:rPr>
      </w:pPr>
    </w:p>
    <w:p w:rsidR="003F1091" w:rsidRDefault="003F1091" w:rsidP="004A7F83">
      <w:pPr>
        <w:pStyle w:val="3"/>
        <w:spacing w:after="0" w:line="360" w:lineRule="auto"/>
        <w:ind w:firstLine="550"/>
        <w:jc w:val="both"/>
        <w:rPr>
          <w:b/>
          <w:iCs/>
          <w:sz w:val="28"/>
          <w:szCs w:val="28"/>
        </w:rPr>
      </w:pPr>
      <w:r w:rsidRPr="003F1091">
        <w:rPr>
          <w:b/>
          <w:iCs/>
          <w:sz w:val="28"/>
          <w:szCs w:val="28"/>
        </w:rPr>
        <w:t>Определение сапробности водоема по методу Пантле и Букка.</w:t>
      </w:r>
    </w:p>
    <w:p w:rsidR="00253048" w:rsidRPr="00253048" w:rsidRDefault="00253048" w:rsidP="00253048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253048">
        <w:rPr>
          <w:sz w:val="28"/>
          <w:szCs w:val="28"/>
        </w:rPr>
        <w:t xml:space="preserve">В 1955г. выходит работа Пантле и Букка (по Макрушину, 1978), в которой они характеризуют степень загрязнения индексом сапробности (S). Индикаторную значимость (s) они приняли у олигосапробов за 1, </w:t>
      </w:r>
      <w:r>
        <w:rPr>
          <w:sz w:val="28"/>
          <w:szCs w:val="28"/>
        </w:rPr>
        <w:t>бета</w:t>
      </w:r>
      <w:r w:rsidRPr="00253048">
        <w:rPr>
          <w:sz w:val="28"/>
          <w:szCs w:val="28"/>
        </w:rPr>
        <w:t xml:space="preserve">-мезосапробов за 2, </w:t>
      </w:r>
      <w:r>
        <w:rPr>
          <w:sz w:val="28"/>
          <w:szCs w:val="28"/>
        </w:rPr>
        <w:t>бета</w:t>
      </w:r>
      <w:r w:rsidRPr="00253048">
        <w:rPr>
          <w:sz w:val="28"/>
          <w:szCs w:val="28"/>
        </w:rPr>
        <w:t xml:space="preserve">-мезосапробов за 3 и полисапробов за 4. Относительное количество особей вида (h) оценивается следующим образом: случайные находки – 1, частая встречаемость 3 и массовое развитие – 5. </w:t>
      </w:r>
    </w:p>
    <w:p w:rsidR="003F1091" w:rsidRPr="003F1091" w:rsidRDefault="003F109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 xml:space="preserve">Данный метод позволяет сравнить состояние водоема в разных пунктах, например по продольному профилю реки, и представить результаты в цифровом и графическом виде. Зонам сапробности </w:t>
      </w:r>
      <w:r w:rsidRPr="003F1091">
        <w:rPr>
          <w:sz w:val="28"/>
          <w:szCs w:val="28"/>
          <w:lang w:val="en-US"/>
        </w:rPr>
        <w:t>s</w:t>
      </w:r>
      <w:r w:rsidRPr="003F1091">
        <w:rPr>
          <w:sz w:val="28"/>
          <w:szCs w:val="28"/>
        </w:rPr>
        <w:t xml:space="preserve"> придается цифровое значение от 1 до 4 в порядке возрастания загрязнения. Определяется также частота встречаемости </w:t>
      </w:r>
      <w:r w:rsidRPr="003F1091">
        <w:rPr>
          <w:sz w:val="28"/>
          <w:szCs w:val="28"/>
          <w:lang w:val="en-US"/>
        </w:rPr>
        <w:t>h</w:t>
      </w:r>
      <w:r w:rsidRPr="003F1091">
        <w:rPr>
          <w:sz w:val="28"/>
          <w:szCs w:val="28"/>
        </w:rPr>
        <w:t xml:space="preserve"> организмов в сообществе. Обе величины входят в формулу для вычисления индекса сапробности:</w:t>
      </w:r>
    </w:p>
    <w:p w:rsidR="003F1091" w:rsidRDefault="003F1091" w:rsidP="00253048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3F1091">
            <w:rPr>
              <w:sz w:val="28"/>
              <w:szCs w:val="28"/>
              <w:lang w:val="en-US"/>
            </w:rPr>
            <w:t>Ind</w:t>
          </w:r>
        </w:smartTag>
      </w:smartTag>
      <w:r w:rsidRPr="003F1091">
        <w:rPr>
          <w:sz w:val="28"/>
          <w:szCs w:val="28"/>
        </w:rPr>
        <w:t xml:space="preserve"> </w:t>
      </w:r>
      <w:r w:rsidRPr="003F1091">
        <w:rPr>
          <w:sz w:val="28"/>
          <w:szCs w:val="28"/>
          <w:lang w:val="en-US"/>
        </w:rPr>
        <w:t>s</w:t>
      </w:r>
      <w:r w:rsidRPr="003F1091">
        <w:rPr>
          <w:sz w:val="28"/>
          <w:szCs w:val="28"/>
        </w:rPr>
        <w:t>=</w:t>
      </w:r>
      <w:r w:rsidRPr="003F1091">
        <w:rPr>
          <w:sz w:val="28"/>
          <w:szCs w:val="28"/>
          <w:lang w:val="en-US"/>
        </w:rPr>
        <w:sym w:font="Symbol" w:char="F053"/>
      </w:r>
      <w:r w:rsidRPr="003F1091">
        <w:rPr>
          <w:sz w:val="28"/>
          <w:szCs w:val="28"/>
        </w:rPr>
        <w:t xml:space="preserve"> (</w:t>
      </w:r>
      <w:r w:rsidRPr="003F1091">
        <w:rPr>
          <w:sz w:val="28"/>
          <w:szCs w:val="28"/>
          <w:lang w:val="en-US"/>
        </w:rPr>
        <w:t>sh</w:t>
      </w:r>
      <w:r w:rsidRPr="003F1091">
        <w:rPr>
          <w:sz w:val="28"/>
          <w:szCs w:val="28"/>
        </w:rPr>
        <w:t>) / (</w:t>
      </w:r>
      <w:r w:rsidRPr="003F1091">
        <w:rPr>
          <w:sz w:val="28"/>
          <w:szCs w:val="28"/>
          <w:lang w:val="en-US"/>
        </w:rPr>
        <w:sym w:font="Symbol" w:char="F053"/>
      </w:r>
      <w:r w:rsidRPr="003F1091">
        <w:rPr>
          <w:sz w:val="28"/>
          <w:szCs w:val="28"/>
        </w:rPr>
        <w:t xml:space="preserve"> </w:t>
      </w:r>
      <w:r w:rsidRPr="003F1091">
        <w:rPr>
          <w:sz w:val="28"/>
          <w:szCs w:val="28"/>
          <w:lang w:val="en-US"/>
        </w:rPr>
        <w:t>h</w:t>
      </w:r>
      <w:r w:rsidRPr="003F1091">
        <w:rPr>
          <w:sz w:val="28"/>
          <w:szCs w:val="28"/>
        </w:rPr>
        <w:t>).</w:t>
      </w:r>
    </w:p>
    <w:p w:rsidR="00253048" w:rsidRPr="00253048" w:rsidRDefault="00253048" w:rsidP="00253048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253048">
        <w:rPr>
          <w:sz w:val="28"/>
          <w:szCs w:val="28"/>
        </w:rPr>
        <w:t xml:space="preserve">В </w:t>
      </w:r>
      <w:r>
        <w:rPr>
          <w:sz w:val="28"/>
          <w:szCs w:val="28"/>
        </w:rPr>
        <w:t>полисапробной зоне он равен – 4,0-3,</w:t>
      </w:r>
      <w:r w:rsidRPr="00253048">
        <w:rPr>
          <w:sz w:val="28"/>
          <w:szCs w:val="28"/>
        </w:rPr>
        <w:t xml:space="preserve">5, в </w:t>
      </w:r>
      <w:r>
        <w:rPr>
          <w:sz w:val="28"/>
          <w:szCs w:val="28"/>
        </w:rPr>
        <w:t>бета-мезосапробной –3,5-2,</w:t>
      </w:r>
      <w:r w:rsidRPr="00253048">
        <w:rPr>
          <w:sz w:val="28"/>
          <w:szCs w:val="28"/>
        </w:rPr>
        <w:t xml:space="preserve">5 в </w:t>
      </w:r>
      <w:r>
        <w:rPr>
          <w:sz w:val="28"/>
          <w:szCs w:val="28"/>
        </w:rPr>
        <w:t>бета</w:t>
      </w:r>
      <w:r w:rsidRPr="00253048">
        <w:rPr>
          <w:sz w:val="28"/>
          <w:szCs w:val="28"/>
        </w:rPr>
        <w:t>-мезосапробной зоне – 2</w:t>
      </w:r>
      <w:r>
        <w:rPr>
          <w:sz w:val="28"/>
          <w:szCs w:val="28"/>
        </w:rPr>
        <w:t>,5-1,5 и в олигосапробной зоне 1,5-1,</w:t>
      </w:r>
      <w:r w:rsidRPr="00253048">
        <w:rPr>
          <w:sz w:val="28"/>
          <w:szCs w:val="28"/>
        </w:rPr>
        <w:t xml:space="preserve">0. </w:t>
      </w:r>
    </w:p>
    <w:p w:rsidR="003F1091" w:rsidRPr="003F1091" w:rsidRDefault="003F109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 xml:space="preserve">Частоту встречаемости учитывают по </w:t>
      </w:r>
      <w:r w:rsidR="00223D7C" w:rsidRPr="003F1091">
        <w:rPr>
          <w:sz w:val="28"/>
          <w:szCs w:val="28"/>
        </w:rPr>
        <w:t>девятибалльной</w:t>
      </w:r>
      <w:r w:rsidRPr="003F1091">
        <w:rPr>
          <w:sz w:val="28"/>
          <w:szCs w:val="28"/>
        </w:rPr>
        <w:t xml:space="preserve"> шестиступенчатой шкале частот со следующими обозначениями: 1-очень редко, 2-редко, 3-нередко, 5-часто,7-очень часто, 9-масса. Кроме того, вводятся понятия «обнищание» и «мертвая» зона, что особенно характерно для промышленных стоков. Интервал точности для статистической надежности 95 %.</w:t>
      </w:r>
    </w:p>
    <w:p w:rsidR="003F1091" w:rsidRPr="003F1091" w:rsidRDefault="003F109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3F1091">
        <w:rPr>
          <w:sz w:val="28"/>
          <w:szCs w:val="28"/>
          <w:lang w:val="en-US"/>
        </w:rPr>
        <w:t>S</w:t>
      </w:r>
      <w:r w:rsidRPr="003F1091">
        <w:rPr>
          <w:sz w:val="28"/>
          <w:szCs w:val="28"/>
        </w:rPr>
        <w:t>=</w:t>
      </w:r>
      <w:r w:rsidRPr="003F1091">
        <w:rPr>
          <w:sz w:val="28"/>
          <w:szCs w:val="28"/>
          <w:lang w:val="en-US"/>
        </w:rPr>
        <w:t>s</w:t>
      </w:r>
      <w:r w:rsidRPr="003F1091">
        <w:rPr>
          <w:sz w:val="28"/>
          <w:szCs w:val="28"/>
          <w:lang w:val="en-US"/>
        </w:rPr>
        <w:sym w:font="Symbol" w:char="F0B1"/>
      </w:r>
      <w:r w:rsidRPr="003F1091">
        <w:rPr>
          <w:sz w:val="28"/>
          <w:szCs w:val="28"/>
          <w:lang w:val="en-US"/>
        </w:rPr>
        <w:t>t</w:t>
      </w:r>
      <w:r w:rsidRPr="003F1091">
        <w:rPr>
          <w:sz w:val="28"/>
          <w:szCs w:val="28"/>
          <w:vertAlign w:val="subscript"/>
        </w:rPr>
        <w:t>0,05</w:t>
      </w:r>
      <w:r w:rsidRPr="003F1091">
        <w:rPr>
          <w:sz w:val="28"/>
          <w:szCs w:val="28"/>
          <w:lang w:val="en-US"/>
        </w:rPr>
        <w:sym w:font="Symbol" w:char="F073"/>
      </w:r>
      <w:r w:rsidRPr="003F1091">
        <w:rPr>
          <w:sz w:val="28"/>
          <w:szCs w:val="28"/>
          <w:vertAlign w:val="subscript"/>
          <w:lang w:val="en-US"/>
        </w:rPr>
        <w:t>S</w:t>
      </w:r>
      <w:r w:rsidRPr="003F1091">
        <w:rPr>
          <w:sz w:val="28"/>
          <w:szCs w:val="28"/>
        </w:rPr>
        <w:t>=2,51</w:t>
      </w:r>
      <w:r w:rsidRPr="003F1091">
        <w:rPr>
          <w:sz w:val="28"/>
          <w:szCs w:val="28"/>
          <w:lang w:val="en-US"/>
        </w:rPr>
        <w:sym w:font="Symbol" w:char="F0B1"/>
      </w:r>
      <w:r w:rsidRPr="003F1091">
        <w:rPr>
          <w:sz w:val="28"/>
          <w:szCs w:val="28"/>
        </w:rPr>
        <w:t>2,02*0,1;</w:t>
      </w:r>
    </w:p>
    <w:p w:rsidR="003F1091" w:rsidRPr="003F1091" w:rsidRDefault="003F109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3F1091">
        <w:rPr>
          <w:sz w:val="28"/>
          <w:szCs w:val="28"/>
          <w:lang w:val="en-US"/>
        </w:rPr>
        <w:t>S</w:t>
      </w:r>
      <w:r w:rsidRPr="003F1091">
        <w:rPr>
          <w:sz w:val="28"/>
          <w:szCs w:val="28"/>
        </w:rPr>
        <w:t>=2,51</w:t>
      </w:r>
      <w:r w:rsidRPr="003F1091">
        <w:rPr>
          <w:sz w:val="28"/>
          <w:szCs w:val="28"/>
          <w:lang w:val="en-US"/>
        </w:rPr>
        <w:sym w:font="Symbol" w:char="F0B1"/>
      </w:r>
      <w:r w:rsidRPr="003F1091">
        <w:rPr>
          <w:sz w:val="28"/>
          <w:szCs w:val="28"/>
        </w:rPr>
        <w:t>0,2.</w:t>
      </w:r>
    </w:p>
    <w:p w:rsidR="003F1091" w:rsidRDefault="003F109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3F1091">
        <w:rPr>
          <w:sz w:val="28"/>
          <w:szCs w:val="28"/>
        </w:rPr>
        <w:t>Обычно индекс сапробности вычисляется с точностью до 0,1.</w:t>
      </w:r>
    </w:p>
    <w:p w:rsidR="00253048" w:rsidRPr="00253048" w:rsidRDefault="00253048" w:rsidP="00253048">
      <w:pPr>
        <w:pStyle w:val="a6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53048">
        <w:rPr>
          <w:sz w:val="28"/>
          <w:szCs w:val="28"/>
        </w:rPr>
        <w:t xml:space="preserve">Однако многие виды-индикаторы встречаются в водах 2, 3 или 4-х зон сапробности, что является причиной неточности при установлении средней сапробности биоценоза. </w:t>
      </w:r>
    </w:p>
    <w:p w:rsidR="003F1091" w:rsidRDefault="003F1091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Насибулиной Б.М. (Астраханский государственный </w:t>
      </w:r>
      <w:r w:rsidR="00223D7C">
        <w:rPr>
          <w:sz w:val="28"/>
          <w:szCs w:val="28"/>
        </w:rPr>
        <w:t>университет</w:t>
      </w:r>
      <w:r>
        <w:rPr>
          <w:sz w:val="28"/>
          <w:szCs w:val="28"/>
        </w:rPr>
        <w:t>): «метод Пантле-Букка дает более надежную информацию в районах, испытывающих влияния загрязнений органического характера, поэтому для объективной оценки загрязненности его целесообразно применять совместно с другими методами».</w:t>
      </w:r>
    </w:p>
    <w:p w:rsidR="00E2192E" w:rsidRDefault="00E2192E" w:rsidP="00173066">
      <w:pPr>
        <w:pStyle w:val="3"/>
        <w:spacing w:after="0"/>
        <w:ind w:firstLine="550"/>
        <w:jc w:val="both"/>
        <w:rPr>
          <w:sz w:val="28"/>
          <w:szCs w:val="28"/>
        </w:rPr>
      </w:pPr>
    </w:p>
    <w:p w:rsidR="004C13F4" w:rsidRDefault="004C13F4" w:rsidP="00173066">
      <w:pPr>
        <w:pStyle w:val="3"/>
        <w:spacing w:after="0"/>
        <w:ind w:firstLine="550"/>
        <w:jc w:val="both"/>
        <w:rPr>
          <w:sz w:val="28"/>
          <w:szCs w:val="28"/>
        </w:rPr>
      </w:pPr>
    </w:p>
    <w:p w:rsidR="00223D7C" w:rsidRDefault="00223D7C" w:rsidP="004A7F83">
      <w:pPr>
        <w:pStyle w:val="3"/>
        <w:spacing w:after="0" w:line="360" w:lineRule="auto"/>
        <w:ind w:firstLine="550"/>
        <w:jc w:val="center"/>
        <w:rPr>
          <w:b/>
          <w:iCs/>
          <w:sz w:val="28"/>
          <w:szCs w:val="28"/>
        </w:rPr>
      </w:pPr>
      <w:r w:rsidRPr="00223D7C">
        <w:rPr>
          <w:b/>
          <w:iCs/>
          <w:sz w:val="28"/>
          <w:szCs w:val="28"/>
        </w:rPr>
        <w:t>Индекс Вудиви</w:t>
      </w:r>
      <w:r>
        <w:rPr>
          <w:b/>
          <w:iCs/>
          <w:sz w:val="28"/>
          <w:szCs w:val="28"/>
        </w:rPr>
        <w:t>с</w:t>
      </w:r>
      <w:r w:rsidRPr="00223D7C">
        <w:rPr>
          <w:b/>
          <w:iCs/>
          <w:sz w:val="28"/>
          <w:szCs w:val="28"/>
        </w:rPr>
        <w:t>са.</w:t>
      </w:r>
    </w:p>
    <w:p w:rsidR="00223D7C" w:rsidRPr="00223D7C" w:rsidRDefault="00223D7C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Этот метод является наиболее удачным для биологического анализа качества воды по составу донных ценозов. Он рекомендуется для использования </w:t>
      </w:r>
      <w:r w:rsidR="00050E2F">
        <w:rPr>
          <w:iCs/>
          <w:sz w:val="28"/>
          <w:szCs w:val="28"/>
        </w:rPr>
        <w:t>в Общегосударственной</w:t>
      </w:r>
      <w:r>
        <w:rPr>
          <w:iCs/>
          <w:sz w:val="28"/>
          <w:szCs w:val="28"/>
        </w:rPr>
        <w:t xml:space="preserve"> системе биомониторинга.</w:t>
      </w:r>
      <w:r w:rsidRPr="00223D7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Этот метод</w:t>
      </w:r>
      <w:r w:rsidRPr="00223D7C">
        <w:rPr>
          <w:sz w:val="28"/>
          <w:szCs w:val="28"/>
        </w:rPr>
        <w:t xml:space="preserve"> базируется на анализе макрозообентоса и перифитона главным образом в зоне макрофитов. Индекс определяют по таблице. Значение индекса зависит от видового разнообразия и состава организмов. В таблице указана последовательность исчезновения из биоценозов организмов по мере увеличения загрязнения.</w:t>
      </w:r>
    </w:p>
    <w:p w:rsidR="00223D7C" w:rsidRDefault="00223D7C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223D7C">
        <w:rPr>
          <w:sz w:val="28"/>
          <w:szCs w:val="28"/>
        </w:rPr>
        <w:t>Индекс изменяется от</w:t>
      </w:r>
      <w:r w:rsidR="00461744">
        <w:rPr>
          <w:sz w:val="28"/>
          <w:szCs w:val="28"/>
        </w:rPr>
        <w:t xml:space="preserve"> </w:t>
      </w:r>
      <w:r w:rsidRPr="00223D7C">
        <w:rPr>
          <w:sz w:val="28"/>
          <w:szCs w:val="28"/>
        </w:rPr>
        <w:t>10 в чистых водоемах до 1 в з</w:t>
      </w:r>
      <w:r w:rsidR="00461744">
        <w:rPr>
          <w:sz w:val="28"/>
          <w:szCs w:val="28"/>
        </w:rPr>
        <w:t>агрязненных (табл.4).</w:t>
      </w:r>
    </w:p>
    <w:p w:rsidR="00461744" w:rsidRDefault="00461744" w:rsidP="00461744">
      <w:pPr>
        <w:ind w:firstLine="12600"/>
        <w:rPr>
          <w:bCs/>
          <w:sz w:val="28"/>
          <w:szCs w:val="28"/>
        </w:rPr>
        <w:sectPr w:rsidR="00461744" w:rsidSect="004C13F4"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p w:rsidR="00461744" w:rsidRPr="00807D7F" w:rsidRDefault="00461744" w:rsidP="00461744">
      <w:pPr>
        <w:ind w:firstLine="12600"/>
        <w:rPr>
          <w:bCs/>
          <w:sz w:val="28"/>
          <w:szCs w:val="28"/>
        </w:rPr>
      </w:pPr>
      <w:r w:rsidRPr="00807D7F">
        <w:rPr>
          <w:bCs/>
          <w:sz w:val="28"/>
          <w:szCs w:val="28"/>
        </w:rPr>
        <w:t>Таблица 4.</w:t>
      </w:r>
    </w:p>
    <w:p w:rsidR="00461744" w:rsidRPr="00807D7F" w:rsidRDefault="00461744" w:rsidP="00461744">
      <w:pPr>
        <w:jc w:val="center"/>
        <w:rPr>
          <w:sz w:val="28"/>
          <w:szCs w:val="28"/>
        </w:rPr>
      </w:pPr>
      <w:r w:rsidRPr="00807D7F">
        <w:rPr>
          <w:b/>
          <w:bCs/>
          <w:sz w:val="28"/>
          <w:szCs w:val="28"/>
        </w:rPr>
        <w:t>Классификация биологических проб по Вудивиссу.</w:t>
      </w:r>
    </w:p>
    <w:p w:rsidR="00461744" w:rsidRDefault="00461744" w:rsidP="004617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3600"/>
        <w:gridCol w:w="1440"/>
        <w:gridCol w:w="1440"/>
        <w:gridCol w:w="1440"/>
        <w:gridCol w:w="1440"/>
        <w:gridCol w:w="1358"/>
      </w:tblGrid>
      <w:tr w:rsidR="00461744">
        <w:trPr>
          <w:cantSplit/>
          <w:trHeight w:val="340"/>
        </w:trPr>
        <w:tc>
          <w:tcPr>
            <w:tcW w:w="4068" w:type="dxa"/>
            <w:vMerge w:val="restart"/>
          </w:tcPr>
          <w:p w:rsidR="00461744" w:rsidRDefault="00461744" w:rsidP="001558AC">
            <w:pPr>
              <w:jc w:val="center"/>
            </w:pPr>
            <w:r>
              <w:t>Присутствующие организмы</w:t>
            </w:r>
          </w:p>
          <w:p w:rsidR="00461744" w:rsidRDefault="00461744" w:rsidP="001558AC">
            <w:pPr>
              <w:jc w:val="center"/>
            </w:pPr>
          </w:p>
        </w:tc>
        <w:tc>
          <w:tcPr>
            <w:tcW w:w="3600" w:type="dxa"/>
            <w:vMerge w:val="restart"/>
          </w:tcPr>
          <w:p w:rsidR="00461744" w:rsidRDefault="00461744" w:rsidP="001558AC">
            <w:pPr>
              <w:jc w:val="center"/>
            </w:pPr>
            <w:r>
              <w:t>Количество присутствующих видов</w:t>
            </w:r>
          </w:p>
          <w:p w:rsidR="00461744" w:rsidRDefault="00461744" w:rsidP="001558AC">
            <w:pPr>
              <w:jc w:val="center"/>
            </w:pPr>
          </w:p>
        </w:tc>
        <w:tc>
          <w:tcPr>
            <w:tcW w:w="7118" w:type="dxa"/>
            <w:gridSpan w:val="5"/>
            <w:tcBorders>
              <w:bottom w:val="single" w:sz="4" w:space="0" w:color="auto"/>
            </w:tcBorders>
          </w:tcPr>
          <w:p w:rsidR="00461744" w:rsidRDefault="00461744" w:rsidP="001558AC">
            <w:pPr>
              <w:jc w:val="center"/>
            </w:pPr>
            <w:r>
              <w:t>Общее число присутствующих «групп»</w:t>
            </w:r>
          </w:p>
        </w:tc>
      </w:tr>
      <w:tr w:rsidR="00461744">
        <w:trPr>
          <w:cantSplit/>
          <w:trHeight w:val="160"/>
        </w:trPr>
        <w:tc>
          <w:tcPr>
            <w:tcW w:w="4068" w:type="dxa"/>
            <w:vMerge/>
          </w:tcPr>
          <w:p w:rsidR="00461744" w:rsidRDefault="00461744" w:rsidP="001558AC">
            <w:pPr>
              <w:jc w:val="center"/>
            </w:pPr>
          </w:p>
        </w:tc>
        <w:tc>
          <w:tcPr>
            <w:tcW w:w="3600" w:type="dxa"/>
            <w:vMerge/>
          </w:tcPr>
          <w:p w:rsidR="00461744" w:rsidRDefault="00461744" w:rsidP="001558AC">
            <w:pPr>
              <w:jc w:val="center"/>
            </w:pP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0-1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2-5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6-10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11-16</w:t>
            </w:r>
          </w:p>
        </w:tc>
        <w:tc>
          <w:tcPr>
            <w:tcW w:w="1358" w:type="dxa"/>
            <w:tcBorders>
              <w:top w:val="nil"/>
            </w:tcBorders>
          </w:tcPr>
          <w:p w:rsidR="00461744" w:rsidRDefault="00461744" w:rsidP="001558AC">
            <w:pPr>
              <w:jc w:val="center"/>
            </w:pPr>
            <w:r>
              <w:t>16 и более</w:t>
            </w:r>
          </w:p>
        </w:tc>
      </w:tr>
      <w:tr w:rsidR="00461744">
        <w:trPr>
          <w:cantSplit/>
          <w:trHeight w:val="300"/>
        </w:trPr>
        <w:tc>
          <w:tcPr>
            <w:tcW w:w="4068" w:type="dxa"/>
            <w:vMerge/>
          </w:tcPr>
          <w:p w:rsidR="00461744" w:rsidRDefault="00461744" w:rsidP="001558AC">
            <w:pPr>
              <w:jc w:val="center"/>
            </w:pPr>
          </w:p>
        </w:tc>
        <w:tc>
          <w:tcPr>
            <w:tcW w:w="3600" w:type="dxa"/>
            <w:vMerge/>
          </w:tcPr>
          <w:p w:rsidR="00461744" w:rsidRDefault="00461744" w:rsidP="001558AC">
            <w:pPr>
              <w:jc w:val="center"/>
            </w:pPr>
          </w:p>
        </w:tc>
        <w:tc>
          <w:tcPr>
            <w:tcW w:w="7118" w:type="dxa"/>
            <w:gridSpan w:val="5"/>
            <w:tcBorders>
              <w:top w:val="single" w:sz="4" w:space="0" w:color="auto"/>
            </w:tcBorders>
          </w:tcPr>
          <w:p w:rsidR="00461744" w:rsidRDefault="00461744" w:rsidP="001558AC">
            <w:pPr>
              <w:jc w:val="center"/>
            </w:pPr>
            <w:r>
              <w:t>Биотический индекс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>Личинки веснянок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Больше одного вида</w:t>
            </w:r>
          </w:p>
          <w:p w:rsidR="00461744" w:rsidRDefault="00461744" w:rsidP="001558AC">
            <w:pPr>
              <w:jc w:val="center"/>
            </w:pPr>
            <w:r>
              <w:t>Только один вид</w:t>
            </w:r>
          </w:p>
        </w:tc>
        <w:tc>
          <w:tcPr>
            <w:tcW w:w="1440" w:type="dxa"/>
            <w:tcBorders>
              <w:top w:val="nil"/>
            </w:tcBorders>
          </w:tcPr>
          <w:p w:rsidR="00461744" w:rsidRDefault="00461744" w:rsidP="001558AC">
            <w:pPr>
              <w:jc w:val="center"/>
            </w:pPr>
            <w:r>
              <w:t>-</w:t>
            </w:r>
          </w:p>
          <w:p w:rsidR="00461744" w:rsidRDefault="00461744" w:rsidP="001558AC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461744" w:rsidRDefault="00461744" w:rsidP="001558AC">
            <w:pPr>
              <w:jc w:val="center"/>
            </w:pPr>
            <w:r>
              <w:t>7</w:t>
            </w:r>
          </w:p>
          <w:p w:rsidR="00461744" w:rsidRDefault="00461744" w:rsidP="001558AC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8</w:t>
            </w:r>
          </w:p>
          <w:p w:rsidR="00461744" w:rsidRDefault="00461744" w:rsidP="001558AC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9</w:t>
            </w:r>
          </w:p>
          <w:p w:rsidR="00461744" w:rsidRDefault="00461744" w:rsidP="001558AC">
            <w:pPr>
              <w:jc w:val="center"/>
            </w:pPr>
            <w:r>
              <w:t>8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10</w:t>
            </w:r>
          </w:p>
          <w:p w:rsidR="00461744" w:rsidRDefault="00461744" w:rsidP="001558AC">
            <w:pPr>
              <w:jc w:val="center"/>
            </w:pPr>
            <w:r>
              <w:t>9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>Личинки поденок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Больше одного вида</w:t>
            </w:r>
          </w:p>
          <w:p w:rsidR="00461744" w:rsidRDefault="00461744" w:rsidP="001558AC">
            <w:pPr>
              <w:jc w:val="center"/>
            </w:pPr>
            <w:r>
              <w:t>Только один вид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-</w:t>
            </w:r>
          </w:p>
          <w:p w:rsidR="00461744" w:rsidRDefault="00461744" w:rsidP="001558AC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6</w:t>
            </w:r>
          </w:p>
          <w:p w:rsidR="00461744" w:rsidRDefault="00461744" w:rsidP="001558AC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7</w:t>
            </w:r>
          </w:p>
          <w:p w:rsidR="00461744" w:rsidRDefault="00461744" w:rsidP="001558AC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8</w:t>
            </w:r>
          </w:p>
          <w:p w:rsidR="00461744" w:rsidRDefault="00461744" w:rsidP="001558AC">
            <w:pPr>
              <w:jc w:val="center"/>
            </w:pPr>
            <w:r>
              <w:t>7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9</w:t>
            </w:r>
          </w:p>
          <w:p w:rsidR="00461744" w:rsidRDefault="00461744" w:rsidP="001558AC">
            <w:pPr>
              <w:jc w:val="center"/>
            </w:pPr>
            <w:r>
              <w:t>8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>Личинки ручейников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Больше одного вида</w:t>
            </w:r>
          </w:p>
          <w:p w:rsidR="00461744" w:rsidRDefault="00461744" w:rsidP="001558AC">
            <w:pPr>
              <w:jc w:val="center"/>
            </w:pPr>
            <w:r>
              <w:t>Только один вид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-</w:t>
            </w:r>
          </w:p>
          <w:p w:rsidR="00461744" w:rsidRDefault="00461744" w:rsidP="001558AC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5</w:t>
            </w:r>
          </w:p>
          <w:p w:rsidR="00461744" w:rsidRDefault="00461744" w:rsidP="001558AC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6</w:t>
            </w:r>
          </w:p>
          <w:p w:rsidR="00461744" w:rsidRDefault="00461744" w:rsidP="001558AC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7</w:t>
            </w:r>
          </w:p>
          <w:p w:rsidR="00461744" w:rsidRDefault="00461744" w:rsidP="001558AC">
            <w:pPr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8</w:t>
            </w:r>
          </w:p>
          <w:p w:rsidR="00461744" w:rsidRDefault="00461744" w:rsidP="001558AC">
            <w:pPr>
              <w:jc w:val="center"/>
            </w:pPr>
            <w:r>
              <w:t>7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>Гаммарус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Все вышеназванные виды отсутствуют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7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>Азеллюс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Все вышеназванные виды отсутствуют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2</w:t>
            </w:r>
          </w:p>
          <w:p w:rsidR="00461744" w:rsidRDefault="00461744" w:rsidP="001558AC">
            <w:pPr>
              <w:jc w:val="center"/>
            </w:pP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6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>Тубифициды и/или (красные) личинки хирономид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Все вышеназванные группы отсутствуют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4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-</w:t>
            </w:r>
          </w:p>
        </w:tc>
      </w:tr>
      <w:tr w:rsidR="00461744">
        <w:tc>
          <w:tcPr>
            <w:tcW w:w="4068" w:type="dxa"/>
          </w:tcPr>
          <w:p w:rsidR="00461744" w:rsidRDefault="00461744" w:rsidP="001558AC">
            <w:pPr>
              <w:jc w:val="center"/>
            </w:pPr>
            <w:r>
              <w:t xml:space="preserve">Могут присутствовать некоторые виды, нетребовательные к кислороду, например </w:t>
            </w:r>
            <w:r>
              <w:rPr>
                <w:lang w:val="en-US"/>
              </w:rPr>
              <w:t>Eristalis</w:t>
            </w:r>
            <w:r>
              <w:t xml:space="preserve"> </w:t>
            </w:r>
            <w:r>
              <w:rPr>
                <w:lang w:val="en-US"/>
              </w:rPr>
              <w:t>tenax</w:t>
            </w:r>
          </w:p>
        </w:tc>
        <w:tc>
          <w:tcPr>
            <w:tcW w:w="3600" w:type="dxa"/>
          </w:tcPr>
          <w:p w:rsidR="00461744" w:rsidRDefault="00461744" w:rsidP="001558AC">
            <w:pPr>
              <w:jc w:val="center"/>
            </w:pPr>
            <w:r>
              <w:t>Все вышеназванные виды отсутствуют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461744" w:rsidRDefault="00461744" w:rsidP="001558AC">
            <w:pPr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461744" w:rsidRDefault="00461744" w:rsidP="001558AC">
            <w:pPr>
              <w:jc w:val="center"/>
            </w:pPr>
            <w:r>
              <w:t>-</w:t>
            </w:r>
          </w:p>
        </w:tc>
      </w:tr>
    </w:tbl>
    <w:p w:rsidR="00461744" w:rsidRDefault="00461744" w:rsidP="00461744">
      <w:pPr>
        <w:jc w:val="center"/>
      </w:pPr>
    </w:p>
    <w:p w:rsidR="00461744" w:rsidRDefault="00461744" w:rsidP="00461744">
      <w:pPr>
        <w:sectPr w:rsidR="00461744" w:rsidSect="004C13F4">
          <w:pgSz w:w="16838" w:h="11906" w:orient="landscape"/>
          <w:pgMar w:top="851" w:right="1134" w:bottom="1701" w:left="1134" w:header="709" w:footer="709" w:gutter="0"/>
          <w:pgNumType w:start="15"/>
          <w:cols w:space="708"/>
          <w:docGrid w:linePitch="360"/>
        </w:sectPr>
      </w:pPr>
    </w:p>
    <w:p w:rsidR="00253048" w:rsidRDefault="00223D7C" w:rsidP="004A7F83">
      <w:pPr>
        <w:pStyle w:val="3"/>
        <w:spacing w:after="0" w:line="360" w:lineRule="auto"/>
        <w:ind w:firstLine="55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В нашей стране использование метода Вудивисса </w:t>
      </w:r>
      <w:r w:rsidR="00050E2F">
        <w:rPr>
          <w:sz w:val="28"/>
          <w:szCs w:val="28"/>
        </w:rPr>
        <w:t>встретилось</w:t>
      </w:r>
      <w:r>
        <w:rPr>
          <w:sz w:val="28"/>
          <w:szCs w:val="28"/>
        </w:rPr>
        <w:t xml:space="preserve"> с рядом проблем регионального характера. Так, например, поденки из рода </w:t>
      </w:r>
      <w:r>
        <w:rPr>
          <w:sz w:val="28"/>
          <w:szCs w:val="28"/>
          <w:lang w:val="en-US"/>
        </w:rPr>
        <w:t>Ba</w:t>
      </w:r>
      <w:r>
        <w:rPr>
          <w:sz w:val="28"/>
          <w:szCs w:val="28"/>
        </w:rPr>
        <w:t>ё</w:t>
      </w:r>
      <w:r>
        <w:rPr>
          <w:sz w:val="28"/>
          <w:szCs w:val="28"/>
          <w:lang w:val="en-US"/>
        </w:rPr>
        <w:t>tis</w:t>
      </w:r>
      <w:r>
        <w:rPr>
          <w:sz w:val="28"/>
          <w:szCs w:val="28"/>
        </w:rPr>
        <w:t xml:space="preserve"> в ряде регионов могут быть эврисапробными и </w:t>
      </w:r>
      <w:r w:rsidR="00050E2F">
        <w:rPr>
          <w:sz w:val="28"/>
          <w:szCs w:val="28"/>
        </w:rPr>
        <w:t>встречаться</w:t>
      </w:r>
      <w:r>
        <w:rPr>
          <w:sz w:val="28"/>
          <w:szCs w:val="28"/>
        </w:rPr>
        <w:t xml:space="preserve"> </w:t>
      </w:r>
      <w:r w:rsidR="000E4946">
        <w:rPr>
          <w:sz w:val="28"/>
          <w:szCs w:val="28"/>
        </w:rPr>
        <w:t xml:space="preserve">в самых разных водоемах, за исключением сильно загрязненных. Случайное попадание этих организмов в пробу может привести к существенному завышению индекса. </w:t>
      </w:r>
      <w:r w:rsidR="00253048" w:rsidRPr="00253048">
        <w:rPr>
          <w:sz w:val="28"/>
          <w:szCs w:val="28"/>
        </w:rPr>
        <w:t>Метод Вудивисса приемлем для грязных и сильно загрязненных вод; для более чистых вод биотические индексы занижены, так как отсутствовали личинки поденок, ручейников, веснянок и преобладали группы, которые в системе Вудивисса почти не отражены или же объединены в очень крупные таксоны.</w:t>
      </w:r>
      <w:r w:rsidR="00253048" w:rsidRPr="005125AF">
        <w:rPr>
          <w:rFonts w:ascii="Arial" w:hAnsi="Arial" w:cs="Arial"/>
          <w:sz w:val="28"/>
          <w:szCs w:val="28"/>
        </w:rPr>
        <w:t xml:space="preserve"> </w:t>
      </w:r>
    </w:p>
    <w:p w:rsidR="00223D7C" w:rsidRDefault="000E4946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целом применение биотического индекса Вудивисса дает положительные результаты. </w:t>
      </w:r>
      <w:r w:rsidR="00050E2F">
        <w:rPr>
          <w:sz w:val="28"/>
          <w:szCs w:val="28"/>
        </w:rPr>
        <w:t>Наблюдается</w:t>
      </w:r>
      <w:r>
        <w:rPr>
          <w:sz w:val="28"/>
          <w:szCs w:val="28"/>
        </w:rPr>
        <w:t xml:space="preserve"> </w:t>
      </w:r>
      <w:r w:rsidR="00050E2F">
        <w:rPr>
          <w:sz w:val="28"/>
          <w:szCs w:val="28"/>
        </w:rPr>
        <w:t>небольшие расхождения</w:t>
      </w:r>
      <w:r>
        <w:rPr>
          <w:sz w:val="28"/>
          <w:szCs w:val="28"/>
        </w:rPr>
        <w:t xml:space="preserve"> с гидрохимическими данными. Полная корреляция гидробиологических и гидрохимических показателей наблюдается в сильно загрязненных водоемах (по Насибулиной Б.М.). Кроме того метод не требует значительных временных затрат для получения и обработки данных.</w:t>
      </w:r>
    </w:p>
    <w:p w:rsidR="000E4946" w:rsidRDefault="000E4946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быстрого и точного определения степени загрязнения воды в системе биомониторинга и прогнозирования может быть рекомендовано применение индекса Вудивисса в сочетании с уточненным индексом </w:t>
      </w:r>
      <w:r w:rsidR="00050E2F">
        <w:rPr>
          <w:sz w:val="28"/>
          <w:szCs w:val="28"/>
        </w:rPr>
        <w:t>Пантле-Букка</w:t>
      </w:r>
      <w:r>
        <w:rPr>
          <w:sz w:val="28"/>
          <w:szCs w:val="28"/>
        </w:rPr>
        <w:t>.</w:t>
      </w:r>
    </w:p>
    <w:p w:rsidR="0060359E" w:rsidRPr="00223D7C" w:rsidRDefault="0060359E" w:rsidP="00173066">
      <w:pPr>
        <w:pStyle w:val="3"/>
        <w:spacing w:after="0"/>
        <w:ind w:firstLine="550"/>
        <w:jc w:val="both"/>
        <w:rPr>
          <w:sz w:val="28"/>
          <w:szCs w:val="28"/>
        </w:rPr>
      </w:pPr>
    </w:p>
    <w:p w:rsidR="00223D7C" w:rsidRDefault="00223D7C" w:rsidP="004A7F83">
      <w:pPr>
        <w:pStyle w:val="3"/>
        <w:spacing w:after="0" w:line="360" w:lineRule="auto"/>
        <w:ind w:firstLine="550"/>
        <w:jc w:val="center"/>
        <w:rPr>
          <w:i/>
          <w:iCs/>
          <w:sz w:val="28"/>
          <w:szCs w:val="28"/>
        </w:rPr>
      </w:pPr>
      <w:r w:rsidRPr="00223D7C">
        <w:rPr>
          <w:b/>
          <w:iCs/>
          <w:sz w:val="28"/>
          <w:szCs w:val="28"/>
        </w:rPr>
        <w:t>Индекс видового разнообразия Маргалефа</w:t>
      </w:r>
      <w:r w:rsidRPr="00223D7C">
        <w:rPr>
          <w:i/>
          <w:iCs/>
          <w:sz w:val="28"/>
          <w:szCs w:val="28"/>
        </w:rPr>
        <w:t>.</w:t>
      </w:r>
    </w:p>
    <w:p w:rsidR="00223D7C" w:rsidRPr="00223D7C" w:rsidRDefault="00223D7C" w:rsidP="004A7F83">
      <w:pPr>
        <w:pStyle w:val="3"/>
        <w:spacing w:after="0" w:line="360" w:lineRule="auto"/>
        <w:ind w:firstLine="550"/>
        <w:jc w:val="both"/>
        <w:rPr>
          <w:sz w:val="28"/>
          <w:szCs w:val="28"/>
        </w:rPr>
      </w:pPr>
      <w:r w:rsidRPr="00223D7C">
        <w:rPr>
          <w:sz w:val="28"/>
          <w:szCs w:val="28"/>
        </w:rPr>
        <w:t xml:space="preserve"> В загрязненных водоемах обычно уменьшается разнообразие видов. Поскольку количество видов пропорционально логарифму изученной площади, а общее количество особей пропорционально площади, предложена в качестве меры формула</w:t>
      </w:r>
    </w:p>
    <w:p w:rsidR="00223D7C" w:rsidRPr="00223D7C" w:rsidRDefault="00223D7C" w:rsidP="004A7F83">
      <w:pPr>
        <w:pStyle w:val="3"/>
        <w:tabs>
          <w:tab w:val="num" w:pos="890"/>
        </w:tabs>
        <w:spacing w:after="0" w:line="360" w:lineRule="auto"/>
        <w:ind w:firstLine="550"/>
        <w:jc w:val="both"/>
        <w:rPr>
          <w:sz w:val="28"/>
          <w:szCs w:val="28"/>
        </w:rPr>
      </w:pPr>
      <w:r w:rsidRPr="00223D7C">
        <w:rPr>
          <w:position w:val="-6"/>
          <w:sz w:val="28"/>
          <w:szCs w:val="28"/>
          <w:lang w:val="en-US"/>
        </w:rPr>
        <w:object w:dxaOrig="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7.25pt" o:ole="" o:bullet="t">
            <v:imagedata r:id="rId9" o:title=""/>
          </v:shape>
          <o:OLEObject Type="Embed" ProgID="Equation.3" ShapeID="_x0000_i1025" DrawAspect="Content" ObjectID="_1469984860" r:id="rId10"/>
        </w:object>
      </w:r>
      <w:r w:rsidRPr="00223D7C">
        <w:rPr>
          <w:sz w:val="28"/>
          <w:szCs w:val="28"/>
        </w:rPr>
        <w:tab/>
        <w:t>= (</w:t>
      </w:r>
      <w:r w:rsidRPr="00223D7C">
        <w:rPr>
          <w:sz w:val="28"/>
          <w:szCs w:val="28"/>
          <w:lang w:val="en-US"/>
        </w:rPr>
        <w:t>s</w:t>
      </w:r>
      <w:r w:rsidRPr="00223D7C">
        <w:rPr>
          <w:sz w:val="28"/>
          <w:szCs w:val="28"/>
        </w:rPr>
        <w:t xml:space="preserve">-1) / </w:t>
      </w:r>
      <w:r w:rsidRPr="00223D7C">
        <w:rPr>
          <w:sz w:val="28"/>
          <w:szCs w:val="28"/>
          <w:lang w:val="en-US"/>
        </w:rPr>
        <w:t>ln</w:t>
      </w:r>
      <w:r w:rsidRPr="00223D7C">
        <w:rPr>
          <w:sz w:val="28"/>
          <w:szCs w:val="28"/>
        </w:rPr>
        <w:t xml:space="preserve"> </w:t>
      </w:r>
      <w:r w:rsidRPr="00223D7C">
        <w:rPr>
          <w:sz w:val="28"/>
          <w:szCs w:val="28"/>
          <w:lang w:val="en-US"/>
        </w:rPr>
        <w:t>N</w:t>
      </w:r>
      <w:r w:rsidRPr="00223D7C">
        <w:rPr>
          <w:sz w:val="28"/>
          <w:szCs w:val="28"/>
        </w:rPr>
        <w:t>,</w:t>
      </w:r>
    </w:p>
    <w:p w:rsidR="00223D7C" w:rsidRPr="00223D7C" w:rsidRDefault="00223D7C" w:rsidP="004A7F83">
      <w:pPr>
        <w:pStyle w:val="3"/>
        <w:tabs>
          <w:tab w:val="num" w:pos="890"/>
        </w:tabs>
        <w:spacing w:after="0" w:line="360" w:lineRule="auto"/>
        <w:ind w:firstLine="550"/>
        <w:jc w:val="both"/>
        <w:rPr>
          <w:sz w:val="28"/>
          <w:szCs w:val="28"/>
        </w:rPr>
      </w:pPr>
      <w:r w:rsidRPr="00223D7C">
        <w:rPr>
          <w:sz w:val="28"/>
          <w:szCs w:val="28"/>
        </w:rPr>
        <w:t xml:space="preserve">где </w:t>
      </w:r>
      <w:r w:rsidRPr="00223D7C">
        <w:rPr>
          <w:sz w:val="28"/>
          <w:szCs w:val="28"/>
          <w:lang w:val="en-US"/>
        </w:rPr>
        <w:t>S</w:t>
      </w:r>
      <w:r w:rsidRPr="00223D7C">
        <w:rPr>
          <w:sz w:val="28"/>
          <w:szCs w:val="28"/>
        </w:rPr>
        <w:t xml:space="preserve"> – количество видов; </w:t>
      </w:r>
      <w:r w:rsidRPr="00223D7C">
        <w:rPr>
          <w:sz w:val="28"/>
          <w:szCs w:val="28"/>
          <w:lang w:val="en-US"/>
        </w:rPr>
        <w:t>ln</w:t>
      </w:r>
      <w:r w:rsidRPr="00223D7C">
        <w:rPr>
          <w:sz w:val="28"/>
          <w:szCs w:val="28"/>
        </w:rPr>
        <w:t xml:space="preserve"> </w:t>
      </w:r>
      <w:r w:rsidRPr="00223D7C">
        <w:rPr>
          <w:sz w:val="28"/>
          <w:szCs w:val="28"/>
          <w:lang w:val="en-US"/>
        </w:rPr>
        <w:t>N</w:t>
      </w:r>
      <w:r w:rsidRPr="00223D7C">
        <w:rPr>
          <w:sz w:val="28"/>
          <w:szCs w:val="28"/>
        </w:rPr>
        <w:t>-натуральный логарифм количества особей;</w:t>
      </w:r>
      <w:r w:rsidRPr="00223D7C">
        <w:rPr>
          <w:sz w:val="28"/>
          <w:szCs w:val="28"/>
          <w:lang w:val="en-US"/>
        </w:rPr>
        <w:sym w:font="Symbol" w:char="F060"/>
      </w:r>
      <w:r w:rsidRPr="00223D7C">
        <w:rPr>
          <w:sz w:val="28"/>
          <w:szCs w:val="28"/>
          <w:lang w:val="en-US"/>
        </w:rPr>
        <w:t>d</w:t>
      </w:r>
      <w:r w:rsidRPr="00223D7C">
        <w:rPr>
          <w:sz w:val="28"/>
          <w:szCs w:val="28"/>
        </w:rPr>
        <w:t xml:space="preserve"> - принимает максимальное значение, если все особи принадлежат к разным видам (</w:t>
      </w:r>
      <w:r w:rsidRPr="00223D7C">
        <w:rPr>
          <w:sz w:val="28"/>
          <w:szCs w:val="28"/>
          <w:lang w:val="en-US"/>
        </w:rPr>
        <w:t>S</w:t>
      </w:r>
      <w:r w:rsidRPr="00223D7C">
        <w:rPr>
          <w:sz w:val="28"/>
          <w:szCs w:val="28"/>
        </w:rPr>
        <w:t>=</w:t>
      </w:r>
      <w:r w:rsidRPr="00223D7C">
        <w:rPr>
          <w:sz w:val="28"/>
          <w:szCs w:val="28"/>
          <w:lang w:val="en-US"/>
        </w:rPr>
        <w:t>N</w:t>
      </w:r>
      <w:r w:rsidRPr="00223D7C">
        <w:rPr>
          <w:sz w:val="28"/>
          <w:szCs w:val="28"/>
        </w:rPr>
        <w:t>) и равен нулю, когда все особи принадлежат к одному виду (</w:t>
      </w:r>
      <w:r w:rsidRPr="00223D7C">
        <w:rPr>
          <w:sz w:val="28"/>
          <w:szCs w:val="28"/>
          <w:lang w:val="en-US"/>
        </w:rPr>
        <w:t>S</w:t>
      </w:r>
      <w:r w:rsidRPr="00223D7C">
        <w:rPr>
          <w:sz w:val="28"/>
          <w:szCs w:val="28"/>
        </w:rPr>
        <w:t>=1).</w:t>
      </w:r>
    </w:p>
    <w:p w:rsidR="00223D7C" w:rsidRPr="00223D7C" w:rsidRDefault="00223D7C" w:rsidP="004A7F83">
      <w:pPr>
        <w:pStyle w:val="3"/>
        <w:tabs>
          <w:tab w:val="num" w:pos="890"/>
        </w:tabs>
        <w:spacing w:after="0" w:line="360" w:lineRule="auto"/>
        <w:ind w:firstLine="550"/>
        <w:jc w:val="both"/>
        <w:rPr>
          <w:sz w:val="28"/>
          <w:szCs w:val="28"/>
          <w:vertAlign w:val="superscript"/>
        </w:rPr>
      </w:pPr>
      <w:r w:rsidRPr="00223D7C">
        <w:rPr>
          <w:sz w:val="28"/>
          <w:szCs w:val="28"/>
        </w:rPr>
        <w:t xml:space="preserve">По мере загрязнения индекс </w:t>
      </w:r>
      <w:r w:rsidRPr="00223D7C">
        <w:rPr>
          <w:position w:val="-6"/>
          <w:sz w:val="28"/>
          <w:szCs w:val="28"/>
        </w:rPr>
        <w:object w:dxaOrig="220" w:dyaOrig="340">
          <v:shape id="_x0000_i1026" type="#_x0000_t75" style="width:11.25pt;height:17.25pt" o:ole="">
            <v:imagedata r:id="rId9" o:title=""/>
          </v:shape>
          <o:OLEObject Type="Embed" ProgID="Equation.3" ShapeID="_x0000_i1026" DrawAspect="Content" ObjectID="_1469984861" r:id="rId11"/>
        </w:object>
      </w:r>
      <w:r w:rsidRPr="00223D7C">
        <w:rPr>
          <w:sz w:val="28"/>
          <w:szCs w:val="28"/>
        </w:rPr>
        <w:t xml:space="preserve"> будет уменьшаться.</w:t>
      </w:r>
    </w:p>
    <w:p w:rsidR="0090481D" w:rsidRDefault="0090481D" w:rsidP="00173066">
      <w:pPr>
        <w:rPr>
          <w:sz w:val="28"/>
        </w:rPr>
      </w:pPr>
    </w:p>
    <w:p w:rsidR="0090481D" w:rsidRDefault="0090481D" w:rsidP="004A7F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Индекс биоразнообразия Симпсона.</w:t>
      </w:r>
    </w:p>
    <w:p w:rsidR="0090481D" w:rsidRDefault="0090481D" w:rsidP="0060359E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качестве количественной оценки экологического состояния поверхностных вод по видовому разнообразию молюсков-биоиндикаторов можно использовать индекс биоразнообразия Симпсона </w:t>
      </w:r>
      <w:r>
        <w:rPr>
          <w:sz w:val="28"/>
          <w:lang w:val="en-US"/>
        </w:rPr>
        <w:t>D</w:t>
      </w:r>
      <w:r>
        <w:rPr>
          <w:sz w:val="28"/>
        </w:rPr>
        <w:t>: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=1</w:t>
      </w:r>
      <w:r w:rsidR="003E1F69">
        <w:rPr>
          <w:sz w:val="28"/>
        </w:rPr>
        <w:t>/ (</w:t>
      </w:r>
      <w:r>
        <w:rPr>
          <w:sz w:val="28"/>
          <w:lang w:val="en-US"/>
        </w:rPr>
        <w:t>ΣP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perscript"/>
        </w:rPr>
        <w:t>2</w:t>
      </w:r>
      <w:r>
        <w:rPr>
          <w:sz w:val="28"/>
        </w:rPr>
        <w:t>),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- видовое разнообразие в сумме видов сообщества, принятого за единицу. Также можно применять показатель жизненности биоиндикаторов </w:t>
      </w:r>
      <w:r>
        <w:rPr>
          <w:sz w:val="28"/>
          <w:lang w:val="en-US"/>
        </w:rPr>
        <w:t>G</w:t>
      </w:r>
      <w:r>
        <w:rPr>
          <w:sz w:val="28"/>
        </w:rPr>
        <w:t xml:space="preserve"> предложенной Ю.С, Бадтиевым</w:t>
      </w:r>
      <w:r w:rsidR="004C13F4">
        <w:rPr>
          <w:sz w:val="28"/>
        </w:rPr>
        <w:t xml:space="preserve"> (табл.5)</w:t>
      </w:r>
      <w:r>
        <w:rPr>
          <w:sz w:val="28"/>
        </w:rPr>
        <w:t>: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>=</w:t>
      </w:r>
      <w:r>
        <w:rPr>
          <w:sz w:val="28"/>
          <w:lang w:val="en-US"/>
        </w:rPr>
        <w:t>WS</w:t>
      </w:r>
      <w:r>
        <w:rPr>
          <w:sz w:val="28"/>
        </w:rPr>
        <w:t>,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W</w:t>
      </w:r>
      <w:r>
        <w:rPr>
          <w:sz w:val="28"/>
        </w:rPr>
        <w:t xml:space="preserve">- относительное разнообразие биоиндикаторов в сумме, принятой за единицу; </w:t>
      </w:r>
      <w:r>
        <w:rPr>
          <w:sz w:val="28"/>
          <w:lang w:val="en-US"/>
        </w:rPr>
        <w:t>S</w:t>
      </w:r>
      <w:r>
        <w:rPr>
          <w:sz w:val="28"/>
        </w:rPr>
        <w:t>- плотность биоиндикаторов на единице площади.</w:t>
      </w:r>
    </w:p>
    <w:p w:rsidR="00E64EA0" w:rsidRDefault="0090481D" w:rsidP="00461744">
      <w:pPr>
        <w:spacing w:line="360" w:lineRule="auto"/>
        <w:jc w:val="both"/>
        <w:rPr>
          <w:sz w:val="28"/>
        </w:rPr>
      </w:pPr>
      <w:r>
        <w:rPr>
          <w:sz w:val="28"/>
        </w:rPr>
        <w:t>Экологическое состояние поверхностных вод водоемов оценивается по состоянию биоиндикаторов относительно состояния биоиндикаторов в нормальных условиях.</w:t>
      </w:r>
    </w:p>
    <w:p w:rsidR="0090481D" w:rsidRDefault="0090481D" w:rsidP="004A7F83">
      <w:pPr>
        <w:spacing w:line="360" w:lineRule="auto"/>
        <w:ind w:firstLine="7740"/>
        <w:jc w:val="both"/>
        <w:rPr>
          <w:sz w:val="28"/>
        </w:rPr>
      </w:pPr>
      <w:r>
        <w:rPr>
          <w:sz w:val="28"/>
        </w:rPr>
        <w:t xml:space="preserve">Таблица </w:t>
      </w:r>
      <w:r w:rsidR="00461744">
        <w:rPr>
          <w:sz w:val="28"/>
        </w:rPr>
        <w:t>5</w:t>
      </w:r>
      <w:r>
        <w:rPr>
          <w:sz w:val="28"/>
        </w:rPr>
        <w:t>.</w:t>
      </w:r>
    </w:p>
    <w:p w:rsidR="0090481D" w:rsidRPr="004C13F4" w:rsidRDefault="0090481D" w:rsidP="004C13F4">
      <w:pPr>
        <w:spacing w:line="360" w:lineRule="auto"/>
        <w:jc w:val="center"/>
        <w:rPr>
          <w:b/>
          <w:sz w:val="28"/>
        </w:rPr>
      </w:pPr>
      <w:r w:rsidRPr="004C13F4">
        <w:rPr>
          <w:b/>
          <w:sz w:val="28"/>
        </w:rPr>
        <w:t>Индексы Симпсона и Бадтиева.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3240"/>
        <w:gridCol w:w="2623"/>
      </w:tblGrid>
      <w:tr w:rsidR="0090481D">
        <w:tc>
          <w:tcPr>
            <w:tcW w:w="3708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Состояние</w:t>
            </w:r>
          </w:p>
        </w:tc>
        <w:tc>
          <w:tcPr>
            <w:tcW w:w="324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</w:t>
            </w:r>
          </w:p>
        </w:tc>
        <w:tc>
          <w:tcPr>
            <w:tcW w:w="2623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</w:t>
            </w:r>
          </w:p>
        </w:tc>
      </w:tr>
      <w:tr w:rsidR="0090481D">
        <w:tc>
          <w:tcPr>
            <w:tcW w:w="3708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Удовлетворительное</w:t>
            </w:r>
          </w:p>
        </w:tc>
        <w:tc>
          <w:tcPr>
            <w:tcW w:w="324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Менее 5</w:t>
            </w:r>
          </w:p>
        </w:tc>
        <w:tc>
          <w:tcPr>
            <w:tcW w:w="2623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Менее 20</w:t>
            </w:r>
          </w:p>
        </w:tc>
      </w:tr>
      <w:tr w:rsidR="0090481D">
        <w:tc>
          <w:tcPr>
            <w:tcW w:w="3708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Кризисное</w:t>
            </w:r>
          </w:p>
        </w:tc>
        <w:tc>
          <w:tcPr>
            <w:tcW w:w="324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25-50</w:t>
            </w:r>
          </w:p>
        </w:tc>
        <w:tc>
          <w:tcPr>
            <w:tcW w:w="2623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25-50</w:t>
            </w:r>
          </w:p>
        </w:tc>
      </w:tr>
      <w:tr w:rsidR="0090481D">
        <w:tc>
          <w:tcPr>
            <w:tcW w:w="3708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Катастрофическое</w:t>
            </w:r>
          </w:p>
        </w:tc>
        <w:tc>
          <w:tcPr>
            <w:tcW w:w="324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Более 50</w:t>
            </w:r>
          </w:p>
        </w:tc>
        <w:tc>
          <w:tcPr>
            <w:tcW w:w="2623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Более 50</w:t>
            </w:r>
          </w:p>
        </w:tc>
      </w:tr>
    </w:tbl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>Для повышения достоверности оценки экологического состояния поверхностных вод поиск контрольного водоема проводят с применением метода биотестирования. Этот метод основан на определении изменения интенсивности биолюминесценции некоторых бактерий в результате воздействия токсических веществ. Уменьшение интенсивности биолюминесценции пропорционально токсическому эффекту. По сравнению с биоиндикацией метод биотестирования более сложен, так как предусматривает приготовление контрольных и рабочих растворов, отбор проб воды для последующего анализа, который проводится в соответствии с «Методикой экспрессного определения токсичности воды» с помощью люминесцентного бактериального теста «Эколюм» (НР № 11-1/133-09, 2000г.). Методика биотестирования обладает высокой точностью (ошибка не более 2%). В результате исследований получают интегральную картину состояния воды, т. е. степень ее токсичности для человека.</w:t>
      </w:r>
    </w:p>
    <w:p w:rsidR="0090481D" w:rsidRDefault="0090481D" w:rsidP="004A7F83">
      <w:pPr>
        <w:spacing w:line="360" w:lineRule="auto"/>
        <w:ind w:firstLine="7740"/>
        <w:jc w:val="both"/>
        <w:rPr>
          <w:sz w:val="28"/>
        </w:rPr>
      </w:pPr>
      <w:r>
        <w:rPr>
          <w:sz w:val="28"/>
        </w:rPr>
        <w:t xml:space="preserve">Таблица </w:t>
      </w:r>
      <w:r w:rsidR="004C13F4">
        <w:rPr>
          <w:sz w:val="28"/>
        </w:rPr>
        <w:t>6</w:t>
      </w:r>
      <w:r>
        <w:rPr>
          <w:sz w:val="28"/>
        </w:rPr>
        <w:t>.</w:t>
      </w:r>
    </w:p>
    <w:p w:rsidR="0090481D" w:rsidRPr="004C13F4" w:rsidRDefault="0090481D" w:rsidP="004C13F4">
      <w:pPr>
        <w:spacing w:line="360" w:lineRule="auto"/>
        <w:jc w:val="center"/>
        <w:rPr>
          <w:b/>
          <w:sz w:val="28"/>
        </w:rPr>
      </w:pPr>
      <w:r w:rsidRPr="004C13F4">
        <w:rPr>
          <w:b/>
          <w:sz w:val="28"/>
        </w:rPr>
        <w:t>Степень токсичности.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90481D">
        <w:tc>
          <w:tcPr>
            <w:tcW w:w="3190" w:type="dxa"/>
          </w:tcPr>
          <w:p w:rsidR="0090481D" w:rsidRDefault="0090481D" w:rsidP="004A7F83">
            <w:pPr>
              <w:pStyle w:val="1"/>
              <w:spacing w:line="360" w:lineRule="auto"/>
              <w:jc w:val="center"/>
            </w:pPr>
            <w:r>
              <w:t>Индекс токсичности</w:t>
            </w:r>
          </w:p>
        </w:tc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Проба</w:t>
            </w:r>
          </w:p>
        </w:tc>
        <w:tc>
          <w:tcPr>
            <w:tcW w:w="3191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 токсичности</w:t>
            </w:r>
          </w:p>
        </w:tc>
      </w:tr>
      <w:tr w:rsidR="0090481D"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Менее 20</w:t>
            </w:r>
          </w:p>
        </w:tc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токсична</w:t>
            </w:r>
          </w:p>
        </w:tc>
        <w:tc>
          <w:tcPr>
            <w:tcW w:w="3191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0481D"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20-49</w:t>
            </w:r>
          </w:p>
        </w:tc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Токсична</w:t>
            </w:r>
          </w:p>
        </w:tc>
        <w:tc>
          <w:tcPr>
            <w:tcW w:w="3191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0481D"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Более 50</w:t>
            </w:r>
          </w:p>
        </w:tc>
        <w:tc>
          <w:tcPr>
            <w:tcW w:w="3190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Сильно токсична</w:t>
            </w:r>
          </w:p>
        </w:tc>
        <w:tc>
          <w:tcPr>
            <w:tcW w:w="3191" w:type="dxa"/>
          </w:tcPr>
          <w:p w:rsidR="0090481D" w:rsidRDefault="0090481D" w:rsidP="004A7F8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90481D" w:rsidRDefault="0090481D" w:rsidP="004A7F83">
      <w:pPr>
        <w:spacing w:line="360" w:lineRule="auto"/>
        <w:jc w:val="both"/>
        <w:rPr>
          <w:sz w:val="28"/>
        </w:rPr>
      </w:pP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>Полученные результаты не требуется сравнивать с фоновой токсичностью, поскольку такое сравнение ведется автоматически.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>Индекс токсичности рассчитывается следующим образом:</w:t>
      </w:r>
    </w:p>
    <w:p w:rsidR="0090481D" w:rsidRP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>П</w:t>
      </w:r>
      <w:r w:rsidRPr="0090481D">
        <w:rPr>
          <w:sz w:val="28"/>
        </w:rPr>
        <w:t>=(</w:t>
      </w:r>
      <w:r>
        <w:rPr>
          <w:sz w:val="28"/>
          <w:lang w:val="en-US"/>
        </w:rPr>
        <w:t>I</w:t>
      </w:r>
      <w:r w:rsidRPr="0090481D">
        <w:rPr>
          <w:sz w:val="28"/>
          <w:vertAlign w:val="subscript"/>
        </w:rPr>
        <w:t>0</w:t>
      </w:r>
      <w:r w:rsidRPr="0090481D">
        <w:rPr>
          <w:sz w:val="28"/>
        </w:rPr>
        <w:t>-</w:t>
      </w:r>
      <w:r>
        <w:rPr>
          <w:sz w:val="28"/>
          <w:lang w:val="en-US"/>
        </w:rPr>
        <w:t>I</w:t>
      </w:r>
      <w:r w:rsidRPr="0090481D">
        <w:rPr>
          <w:sz w:val="28"/>
        </w:rPr>
        <w:t>/</w:t>
      </w:r>
      <w:r>
        <w:rPr>
          <w:sz w:val="28"/>
          <w:lang w:val="en-US"/>
        </w:rPr>
        <w:t>I</w:t>
      </w:r>
      <w:r w:rsidRPr="0090481D">
        <w:rPr>
          <w:sz w:val="28"/>
          <w:vertAlign w:val="subscript"/>
        </w:rPr>
        <w:t>0</w:t>
      </w:r>
      <w:r w:rsidRPr="0090481D">
        <w:rPr>
          <w:sz w:val="28"/>
        </w:rPr>
        <w:t>)100</w:t>
      </w:r>
      <w:r w:rsidR="004C13F4">
        <w:rPr>
          <w:sz w:val="28"/>
        </w:rPr>
        <w:t>%</w:t>
      </w:r>
    </w:p>
    <w:p w:rsidR="0090481D" w:rsidRDefault="0090481D" w:rsidP="004A7F8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0</w:t>
      </w:r>
      <w:r>
        <w:rPr>
          <w:sz w:val="28"/>
        </w:rPr>
        <w:t xml:space="preserve">- интенсивность свечения контрольного (эталонного) раствора; </w:t>
      </w:r>
      <w:r>
        <w:rPr>
          <w:sz w:val="28"/>
          <w:lang w:val="en-US"/>
        </w:rPr>
        <w:t>I</w:t>
      </w:r>
      <w:r>
        <w:rPr>
          <w:sz w:val="28"/>
        </w:rPr>
        <w:t>- интенсивность свечения раствора с добавлением исследуемой пробы.</w:t>
      </w:r>
    </w:p>
    <w:p w:rsidR="00173066" w:rsidRDefault="00173066" w:rsidP="00173066">
      <w:pPr>
        <w:pStyle w:val="3"/>
        <w:spacing w:after="0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4C13F4" w:rsidRDefault="004C13F4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</w:p>
    <w:p w:rsidR="00F71C05" w:rsidRDefault="00F71C05" w:rsidP="004A7F83">
      <w:pPr>
        <w:pStyle w:val="3"/>
        <w:spacing w:after="0" w:line="360" w:lineRule="auto"/>
        <w:ind w:firstLine="5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F71C05" w:rsidRDefault="00F71C05" w:rsidP="00173066">
      <w:pPr>
        <w:pStyle w:val="3"/>
        <w:spacing w:after="0"/>
        <w:ind w:firstLine="550"/>
        <w:jc w:val="center"/>
        <w:rPr>
          <w:b/>
          <w:sz w:val="28"/>
          <w:szCs w:val="28"/>
        </w:rPr>
      </w:pPr>
    </w:p>
    <w:p w:rsidR="0079596C" w:rsidRDefault="0079596C" w:rsidP="004A7F83">
      <w:pPr>
        <w:spacing w:line="360" w:lineRule="auto"/>
        <w:ind w:right="-6" w:firstLine="720"/>
        <w:jc w:val="both"/>
        <w:rPr>
          <w:bCs/>
          <w:sz w:val="28"/>
        </w:rPr>
      </w:pPr>
      <w:r>
        <w:rPr>
          <w:bCs/>
          <w:sz w:val="28"/>
        </w:rPr>
        <w:t xml:space="preserve">Современные методы контроля качества природных вод, полноты очистки сточных вод, влияния их на природные воды включают лишь химические показатели БПК и ХПК, а также содержания различных форм азота, фосфора и </w:t>
      </w:r>
      <w:r w:rsidR="002A6EEF">
        <w:rPr>
          <w:bCs/>
          <w:sz w:val="28"/>
        </w:rPr>
        <w:t xml:space="preserve">других химических веществ, на которые установлены ПДК. Ни один из этих показателей, ни все вместе взятые не могут непосредственно характеризовать токсичность воды для водных организмов. Это возможно лишь с помощью токсикологических опытов с использованием водных организмов-биоиндикаторов. Гидробионты реагируют на действие целого комплекса веществ, содержащихся в сточных водах. Нередко токсичность воды обусловлена присутствием веществ в столь низких концентрациях, что их невозможно идентифицировать из-за недостаточной чувствительности или </w:t>
      </w:r>
      <w:r w:rsidR="003E1F69">
        <w:rPr>
          <w:bCs/>
          <w:sz w:val="28"/>
        </w:rPr>
        <w:t>отсутствия</w:t>
      </w:r>
      <w:r w:rsidR="002A6EEF">
        <w:rPr>
          <w:bCs/>
          <w:sz w:val="28"/>
        </w:rPr>
        <w:t xml:space="preserve"> аналитического метода.</w:t>
      </w:r>
    </w:p>
    <w:p w:rsidR="002F18A1" w:rsidRPr="005125AF" w:rsidRDefault="002F18A1" w:rsidP="002F18A1">
      <w:pPr>
        <w:pStyle w:val="a6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125AF">
        <w:rPr>
          <w:sz w:val="28"/>
          <w:szCs w:val="28"/>
        </w:rPr>
        <w:t xml:space="preserve">Подчеркивая всю важность биоиндикационных методов исследования, необходимо отметить, что биоиндикация предусматривает выявление уже состоявшегося или происходящего загрязнения окружающей среды по функциональным характеристикам особей и экологическим характеристикам сообществ организмов. Постепенные же изменения видового состава формируются в результате длительного отравления водоема, и явными они становятся в случае в случае далеко идущих изменений. </w:t>
      </w:r>
    </w:p>
    <w:p w:rsidR="00F71C05" w:rsidRPr="00F71C05" w:rsidRDefault="002A6EEF" w:rsidP="004C13F4">
      <w:pPr>
        <w:pStyle w:val="a3"/>
        <w:spacing w:line="360" w:lineRule="auto"/>
        <w:ind w:firstLine="720"/>
        <w:rPr>
          <w:szCs w:val="28"/>
        </w:rPr>
      </w:pPr>
      <w:r>
        <w:t xml:space="preserve">Таким </w:t>
      </w:r>
      <w:r w:rsidR="003E1F69">
        <w:t>образом,</w:t>
      </w:r>
      <w:r>
        <w:t xml:space="preserve"> можно сделать определенные выводы.</w:t>
      </w:r>
      <w:r w:rsidR="003E1F69">
        <w:t xml:space="preserve"> В результате отбора, обработки и анализа материала по основным гидробиологическим  показателям, мы получаем интегральную оценку качества воды. Основными индикаторными биоценозами рек являются перифитон и бентос, важнейшие характеристики которых лежат в основе обобщенной оценки.</w:t>
      </w:r>
      <w:r>
        <w:t xml:space="preserve"> </w:t>
      </w:r>
      <w:r w:rsidR="0079596C">
        <w:t>Видовой состав и численность обитателей водоема зависят от свойств воды. Главная идея биомониторинга состоит в том, что гидробионты отражают сложившиеся в водоеме условия среды. Те виды, для которых эти условия неблагоприятны, выпадают, заменяясь новыми видами с иными потребностями.</w:t>
      </w:r>
      <w:bookmarkStart w:id="0" w:name="_GoBack"/>
      <w:bookmarkEnd w:id="0"/>
    </w:p>
    <w:sectPr w:rsidR="00F71C05" w:rsidRPr="00F71C05" w:rsidSect="004C13F4">
      <w:pgSz w:w="11906" w:h="16838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AC" w:rsidRDefault="001558AC">
      <w:r>
        <w:separator/>
      </w:r>
    </w:p>
  </w:endnote>
  <w:endnote w:type="continuationSeparator" w:id="0">
    <w:p w:rsidR="001558AC" w:rsidRDefault="0015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A0" w:rsidRDefault="00E64EA0" w:rsidP="006616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EA0" w:rsidRDefault="00E64E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A0" w:rsidRDefault="00E64EA0" w:rsidP="006616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8B0">
      <w:rPr>
        <w:rStyle w:val="a5"/>
        <w:noProof/>
      </w:rPr>
      <w:t>2</w:t>
    </w:r>
    <w:r>
      <w:rPr>
        <w:rStyle w:val="a5"/>
      </w:rPr>
      <w:fldChar w:fldCharType="end"/>
    </w:r>
  </w:p>
  <w:p w:rsidR="00E64EA0" w:rsidRDefault="00E64E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AC" w:rsidRDefault="001558AC">
      <w:r>
        <w:separator/>
      </w:r>
    </w:p>
  </w:footnote>
  <w:footnote w:type="continuationSeparator" w:id="0">
    <w:p w:rsidR="001558AC" w:rsidRDefault="0015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D8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45458A5"/>
    <w:multiLevelType w:val="hybridMultilevel"/>
    <w:tmpl w:val="02C20B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3B01482"/>
    <w:multiLevelType w:val="multilevel"/>
    <w:tmpl w:val="72E2DF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B096264"/>
    <w:multiLevelType w:val="hybridMultilevel"/>
    <w:tmpl w:val="AFCA52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E1D"/>
    <w:rsid w:val="00001F47"/>
    <w:rsid w:val="000357F9"/>
    <w:rsid w:val="00050E2F"/>
    <w:rsid w:val="00062F12"/>
    <w:rsid w:val="00083119"/>
    <w:rsid w:val="000E4946"/>
    <w:rsid w:val="00145E1D"/>
    <w:rsid w:val="001558AC"/>
    <w:rsid w:val="00162F0B"/>
    <w:rsid w:val="00173066"/>
    <w:rsid w:val="00223D7C"/>
    <w:rsid w:val="002447C6"/>
    <w:rsid w:val="00253048"/>
    <w:rsid w:val="002A6EEF"/>
    <w:rsid w:val="002F18A1"/>
    <w:rsid w:val="003643ED"/>
    <w:rsid w:val="003E1F69"/>
    <w:rsid w:val="003F1091"/>
    <w:rsid w:val="00441054"/>
    <w:rsid w:val="00461744"/>
    <w:rsid w:val="004A7F83"/>
    <w:rsid w:val="004C13F4"/>
    <w:rsid w:val="0060359E"/>
    <w:rsid w:val="00661681"/>
    <w:rsid w:val="006708B0"/>
    <w:rsid w:val="0070079E"/>
    <w:rsid w:val="0079596C"/>
    <w:rsid w:val="007E7DD6"/>
    <w:rsid w:val="008821B6"/>
    <w:rsid w:val="008B7E26"/>
    <w:rsid w:val="0090481D"/>
    <w:rsid w:val="00922A19"/>
    <w:rsid w:val="00C82FE8"/>
    <w:rsid w:val="00CB18EA"/>
    <w:rsid w:val="00D001D9"/>
    <w:rsid w:val="00D62D42"/>
    <w:rsid w:val="00D83DF4"/>
    <w:rsid w:val="00E2192E"/>
    <w:rsid w:val="00E62942"/>
    <w:rsid w:val="00E64EA0"/>
    <w:rsid w:val="00F009F5"/>
    <w:rsid w:val="00F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D8B2C77-4579-4796-8E46-62493E7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1D"/>
    <w:rPr>
      <w:sz w:val="24"/>
      <w:szCs w:val="24"/>
    </w:rPr>
  </w:style>
  <w:style w:type="paragraph" w:styleId="1">
    <w:name w:val="heading 1"/>
    <w:basedOn w:val="a"/>
    <w:next w:val="a"/>
    <w:qFormat/>
    <w:rsid w:val="0090481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5E1D"/>
    <w:pPr>
      <w:ind w:right="-5"/>
      <w:jc w:val="both"/>
    </w:pPr>
    <w:rPr>
      <w:sz w:val="28"/>
    </w:rPr>
  </w:style>
  <w:style w:type="paragraph" w:styleId="3">
    <w:name w:val="Body Text 3"/>
    <w:basedOn w:val="a"/>
    <w:rsid w:val="00145E1D"/>
    <w:pPr>
      <w:spacing w:after="120"/>
    </w:pPr>
    <w:rPr>
      <w:sz w:val="16"/>
      <w:szCs w:val="16"/>
    </w:rPr>
  </w:style>
  <w:style w:type="paragraph" w:styleId="a4">
    <w:name w:val="footer"/>
    <w:basedOn w:val="a"/>
    <w:rsid w:val="00D62D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2D42"/>
  </w:style>
  <w:style w:type="paragraph" w:styleId="a6">
    <w:name w:val="Normal (Web)"/>
    <w:basedOn w:val="a"/>
    <w:rsid w:val="00173066"/>
    <w:pPr>
      <w:spacing w:before="100" w:beforeAutospacing="1" w:after="100" w:afterAutospacing="1"/>
    </w:pPr>
  </w:style>
  <w:style w:type="paragraph" w:styleId="a7">
    <w:name w:val="header"/>
    <w:basedOn w:val="a"/>
    <w:rsid w:val="0046174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46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Irina</cp:lastModifiedBy>
  <cp:revision>2</cp:revision>
  <cp:lastPrinted>2008-07-03T19:34:00Z</cp:lastPrinted>
  <dcterms:created xsi:type="dcterms:W3CDTF">2014-08-19T17:21:00Z</dcterms:created>
  <dcterms:modified xsi:type="dcterms:W3CDTF">2014-08-19T17:21:00Z</dcterms:modified>
</cp:coreProperties>
</file>