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FB" w:rsidRPr="001D4DB4" w:rsidRDefault="007317FB" w:rsidP="007317FB">
      <w:pPr>
        <w:spacing w:before="120"/>
        <w:jc w:val="center"/>
        <w:rPr>
          <w:b/>
          <w:bCs/>
          <w:sz w:val="32"/>
          <w:szCs w:val="32"/>
        </w:rPr>
      </w:pPr>
      <w:r w:rsidRPr="001D4DB4">
        <w:rPr>
          <w:b/>
          <w:bCs/>
          <w:sz w:val="32"/>
          <w:szCs w:val="32"/>
        </w:rPr>
        <w:t>Особенности свойств аморфного углеродного материала как носителя электродных катализаторов для топливных элементов</w:t>
      </w:r>
    </w:p>
    <w:p w:rsidR="007317FB" w:rsidRPr="001D4DB4" w:rsidRDefault="007317FB" w:rsidP="007317FB">
      <w:pPr>
        <w:spacing w:before="120"/>
        <w:jc w:val="center"/>
        <w:rPr>
          <w:sz w:val="28"/>
          <w:szCs w:val="28"/>
        </w:rPr>
      </w:pPr>
      <w:r w:rsidRPr="001D4DB4">
        <w:rPr>
          <w:sz w:val="28"/>
          <w:szCs w:val="28"/>
        </w:rPr>
        <w:t>Ч. Н. Варнаков, А. П. Козлов, С. К. Сеит-Аблаева, А. И. Романенко, Н. Т. Васенин, В. Ф. Ануфриенко, 3. Р. Исмагилов, В. Н. Пармой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Характеристика аморфного углеродного материала (АУМ) только по элементному составу и данным, полученным на основе анализа изотерм адсорбции азота, не является достаточной. Показано, что в процессе образования АУМ, в частности из ароматических предшественников с различными функциональными группами в условиях термокаталитического синтеза при различных времени и температуре карбонизации, образуется углеродный материал, обладающий как одномерной, так и трехмерной проводимостью.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Одномерная проводимость, возможно, связана с образованием карбина, как промежуточной стадии</w:t>
      </w:r>
      <w:r>
        <w:t xml:space="preserve"> </w:t>
      </w:r>
      <w:r w:rsidRPr="00B22AA7">
        <w:t>образования АУМ при температурах порядка 700 °С, либо при температуре 900 °С и небольшом (до 15 минут) времени карбонизации. Предполагается, что одномерная проводимость может влиять на выходную мощность топливного элемента, если АУМ используется в качестве носителя катализатора катодной мембраны.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Ранее методами электронной спектроскопии высокого разрешения (HRTEM) и дифракции электронов было показано [1], что аморфный углеродный материал, в отличие от активированного угля, волокнистых углеродных материалов и наноуглерода, состоит из структуры, сформированной графитоподобными слоями (графемами) моноатомной толщины (порядка 0,3 нм). Аналогичные результаты получены и при рентгенографических исследованиях образцов, приготовленных из ароматических соединений. Когда толщина поверхностного слоя приближается к молекулярным размерам, наночастица будет более рыхлой по сравнению с объемной конденсированной фазой, причем вся наночастица будет неоднородной [2]. Эта неоднородность дает разнообразие свойств углеродного материала, что может проявляться как в различных парамагнитных свойствах углеродного материала, так и в разной его проводимости.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В таблице представлены характеристики образцов АУМ, полученных из ароматических соединений с различными функциональными группами методом термокаталитического синтеза (карбонизация при 700—800 °С в присутствии щелочи — гидроксида натрия или калия, либо их эквимолярной смеси) [1, 3]. Элементный анализ образцов, выполненный по стандарту ISO 625-75 на приборе CarloErba с CHN анализатором, показал наличие углерода (89—90%(масс.)), водорода (0,5—0,6%(масс.)) и кислорода (остальное). Азот и сера не были обнаружены. Удельная поверхность по БЭТ, объем и поверхность микропор полученных образцов АУМ определяли на установке ASAP-2400 (Micromeritics) по адсорбции азота при 77 К. Перед измерениями проводили предварительную тренировку образцов при 300 °С и остаточном давлении менее 0,001 мм рт.ст. до прекращения газовыделения. После тренировки до измерения изотермы адсорбции контакт с атмосферой был исключен. Изотермы адсорбции азота записывали в диапазоне относительных давлений от 0,005 до 0,995 и проводили их стандартную обработку с расчетом суммарной поверхности методом БЭТ, объема микропор с размером до 2 нм и поверхности мезопор, остающейся после заполнения микропор. Полученные образцы АУМ можно представить, подобно изомерам, как гомологический ряд одного состава с разной структурой поверхности [2]. Одной из характерных особенностей этого гомологического ряда АУМ является наличие более 80% микропор.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Полученные образцы АУМ были испытаны в качестве носителей платиновых катализаторов для катодов топливных элементов с протонообменной мембраной. Лучшие показатели по выходной мощности топливного элемента получены на АУМ-1 — образце из нефтяного кокса [4]. Для этого образца АУМ характерна большая интенсивность спектра ЭПР, достигающая 1020 спин/г.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Для сравнения в качестве носителей были использованы углеродные нановолокнистые (УНВ) материалы различного строения и стандартный носитель Vulcan XC-72R. Результаты тестирования показали [4], что при плотности тока 100 мА/см2 и содержании платины от 0,02 до 0,09 мг/см2 катодный катализатор на основе УНВ, независимо от структуры носителя, имеет более низкие вольтамперные характеристики по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Таблица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Характеристики поверхности образцов АУМ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2592"/>
        <w:gridCol w:w="1392"/>
        <w:gridCol w:w="1632"/>
        <w:gridCol w:w="1555"/>
        <w:gridCol w:w="1622"/>
      </w:tblGrid>
      <w:tr w:rsidR="007317FB" w:rsidRPr="00B22AA7" w:rsidTr="00F96565">
        <w:trPr>
          <w:trHeight w:val="288"/>
        </w:trPr>
        <w:tc>
          <w:tcPr>
            <w:tcW w:w="432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№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Предшественник образца</w:t>
            </w:r>
          </w:p>
        </w:tc>
        <w:tc>
          <w:tcPr>
            <w:tcW w:w="30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Удельная поверхность, м2/г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Удельный объем, см3/г</w:t>
            </w:r>
          </w:p>
        </w:tc>
      </w:tr>
      <w:tr w:rsidR="007317FB" w:rsidRPr="00B22AA7" w:rsidTr="00F96565">
        <w:trPr>
          <w:trHeight w:val="278"/>
        </w:trPr>
        <w:tc>
          <w:tcPr>
            <w:tcW w:w="432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/>
          <w:p w:rsidR="007317FB" w:rsidRPr="00B22AA7" w:rsidRDefault="007317FB" w:rsidP="00F96565"/>
        </w:tc>
        <w:tc>
          <w:tcPr>
            <w:tcW w:w="2592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/>
          <w:p w:rsidR="007317FB" w:rsidRPr="00B22AA7" w:rsidRDefault="007317FB" w:rsidP="00F96565"/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общая</w:t>
            </w:r>
          </w:p>
        </w:tc>
        <w:tc>
          <w:tcPr>
            <w:tcW w:w="16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микропор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всех пор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микропор</w:t>
            </w:r>
          </w:p>
        </w:tc>
      </w:tr>
      <w:tr w:rsidR="007317FB" w:rsidRPr="00B22AA7" w:rsidTr="00F96565">
        <w:trPr>
          <w:trHeight w:val="278"/>
        </w:trPr>
        <w:tc>
          <w:tcPr>
            <w:tcW w:w="4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Нефтяной кокс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3331</w:t>
            </w:r>
          </w:p>
        </w:tc>
        <w:tc>
          <w:tcPr>
            <w:tcW w:w="16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3149</w:t>
            </w:r>
          </w:p>
        </w:tc>
        <w:tc>
          <w:tcPr>
            <w:tcW w:w="15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1,84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1,56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Фенол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2240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1871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1,53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0,98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3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8-Оксихинолин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2548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2235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1,59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1,21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4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Гидрохинон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2453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2342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1,36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1,22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о-Нитроанилин К+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1674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1618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0,87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0,79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6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о-Нитроацетонилид К+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1692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1661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0,85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0,80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7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о-Нитроанилин Na+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1921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1679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1,34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1,05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о-Нитроанилин Na+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2559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2167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1,74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1,25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о-Нитроанилин Na+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2508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2351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1,51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1,31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10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Гидрохинон К+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2697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2592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1,50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1,38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11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Гидрохинон К+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2835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2663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1,70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1,50</w:t>
            </w:r>
          </w:p>
        </w:tc>
      </w:tr>
      <w:tr w:rsidR="007317FB" w:rsidRPr="00B22AA7" w:rsidTr="00F96565">
        <w:trPr>
          <w:trHeight w:val="278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12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Гидрохинон К+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2765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2593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1,64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1,43</w:t>
            </w:r>
          </w:p>
        </w:tc>
      </w:tr>
      <w:tr w:rsidR="007317FB" w:rsidRPr="00B22AA7" w:rsidTr="00F96565">
        <w:trPr>
          <w:trHeight w:val="26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13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2,4-Динитроанилин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1148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1123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0,57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0,52</w:t>
            </w:r>
          </w:p>
        </w:tc>
      </w:tr>
      <w:tr w:rsidR="007317FB" w:rsidRPr="00B22AA7" w:rsidTr="00F96565">
        <w:trPr>
          <w:trHeight w:val="25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14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Барбитуровая кислота К+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1400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790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1,47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0,41</w:t>
            </w:r>
          </w:p>
        </w:tc>
      </w:tr>
      <w:tr w:rsidR="007317FB" w:rsidRPr="00B22AA7" w:rsidTr="00F96565">
        <w:trPr>
          <w:trHeight w:val="25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л-Хинондиоксим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2470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2166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1,64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1,27</w:t>
            </w:r>
          </w:p>
        </w:tc>
      </w:tr>
      <w:tr w:rsidR="007317FB" w:rsidRPr="00B22AA7" w:rsidTr="00F96565">
        <w:trPr>
          <w:trHeight w:val="2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л-гидрохинон (1:2)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</w:tr>
      <w:tr w:rsidR="007317FB" w:rsidRPr="00B22AA7" w:rsidTr="00F96565">
        <w:trPr>
          <w:trHeight w:val="25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16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л-Хинондиоксим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2620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1796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2,14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1,07</w:t>
            </w:r>
          </w:p>
        </w:tc>
      </w:tr>
      <w:tr w:rsidR="007317FB" w:rsidRPr="00B22AA7" w:rsidTr="00F96565">
        <w:trPr>
          <w:trHeight w:val="25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л-гидрохинон (1:2)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</w:tr>
      <w:tr w:rsidR="007317FB" w:rsidRPr="00B22AA7" w:rsidTr="00F96565">
        <w:trPr>
          <w:trHeight w:val="2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17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л-Хинондиоксим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2770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2271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1,92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1,29</w:t>
            </w:r>
          </w:p>
        </w:tc>
      </w:tr>
      <w:tr w:rsidR="007317FB" w:rsidRPr="00B22AA7" w:rsidTr="00F96565">
        <w:trPr>
          <w:trHeight w:val="25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>
            <w:r w:rsidRPr="00B22AA7">
              <w:t>л-гидрохинон (1:2)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7317FB" w:rsidRPr="00B22AA7" w:rsidRDefault="007317FB" w:rsidP="00F96565"/>
        </w:tc>
      </w:tr>
      <w:tr w:rsidR="007317FB" w:rsidRPr="00B22AA7" w:rsidTr="00F96565">
        <w:trPr>
          <w:trHeight w:val="278"/>
        </w:trPr>
        <w:tc>
          <w:tcPr>
            <w:tcW w:w="4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18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Хиноловый эфир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2360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2265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1,25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17FB" w:rsidRPr="00B22AA7" w:rsidRDefault="007317FB" w:rsidP="00F96565">
            <w:r w:rsidRPr="00B22AA7">
              <w:t>1,10</w:t>
            </w:r>
          </w:p>
        </w:tc>
      </w:tr>
    </w:tbl>
    <w:p w:rsidR="007317FB" w:rsidRPr="00B22AA7" w:rsidRDefault="007317FB" w:rsidP="007317FB">
      <w:pPr>
        <w:spacing w:before="120"/>
        <w:ind w:firstLine="567"/>
        <w:jc w:val="both"/>
      </w:pPr>
      <w:r w:rsidRPr="00B22AA7">
        <w:t>сравнению с катализатором на основе традиционного Vulcan XC-72R при такой же концентрации платины (0,04—0,06 мг/см2). И наоборот, катализатор, где в качестве основы выступает АУМ-1 имеет более высокие показатели вольтамперной характеристики, в том числе и при низком содержании платины (0,02— 0,06 мг/см2) в образце.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Для изучения спектров ЭПР нами специально по методике [1] из ароматических соединений, представленных в таблице, были синтезированы три образца, отличающиеся только удельной поверхностью. Образец № 1 — с удельной поверхностью 1800 м2/г был получен в результате карбонизации в течение 30 мин при температуре 900 °С. Образец № 2 с удельной поверхностью 2200 м2/г получен в результате карбонизации в течение 15 мин при 700 °С. Образец № 3 — с удельной поверхностью 2900 м2/г, получен в результате карбонизации в течение 15 минут при 900 °С.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На рис. 1 показаны спектры ЭПР образцов, которые снимали на спектрометре Brucker 200 D при 77 и 273 К (Я, = 3 см) после предварительного вакуумиро-вания при 200 °С. Для образца № 1 каких-либо сигналов в спектре ЭПР не было обнаружено. Этот результат согласуется с давно известными фактами [5], что после карбонизации углеродного сырья или угля при температурах выше 700 °С спектры ЭПР локализованных электронов не наблюдаются, вероятно, из-за уширения спектров электронным газом образующихся графитовых структур.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Для вакуумированных образцов № 2 и № 3 наблюдаются симметричные спектры ЭПР g = ge (рис. 1). Ширина линий в спектре образца № 2 при комнатной температуре — 15 Гс, при температуре жидкого азота — 10 Гс. Образец № 3 имеет линии шириной 34 Гс (293 К) и 24 Гс (77 К). Отметим, что для углеродных систем (угли, коксы) ширина линий ЭПР заметно меньше (&lt; 10 Гс). Для обоих образцов интегральная интенсивность спектров очень высокая и достигает 1019 -г 1020 спин/г. Обнаружено, что для спектров этих двух образцов не выполняется закон Кюри: при понижении температуры измерений интегральная интенсивность не только не возрастает, а заметно</w:t>
      </w:r>
      <w:r>
        <w:t xml:space="preserve"> </w:t>
      </w:r>
      <w:r w:rsidRPr="00B22AA7">
        <w:t>уменьшается. Это уменьшение проявляется для образца № 3 в существенно большей степени (в 4 раза), чем для образца № 2 (в полтора раза).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Анализ обнаруженной особенности спектров ЭПР позволяет предположить, что исчезновение спектров, вероятно, связано с некоторой локализацией электронного газа при понижении температуры вокруг дефектов структуры, на которых локализуются наблюдаемые неспаренные электроны (модель С- S релаксации [6], где С — локализованные электроны, S — электронный газ). Результаты измерения проводимости подтверждают это предположение.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Температурная зависимость проводимости измерялась четырехконтактным методом в интервале температур 4,2—300 К. Исследуемые образцы в виде порошка запрессовывались в ампулу. Контакты к ампуле подводились серебряной проволокой диаметром 0,1 мм и для лучшего контакта образца с проволокой порошок в ампуле поджимали.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Температурные зависимости электропроводности образцов № 1—3 (рис. 2, 3) существенно различаются. Достаточно низкая концентрация носителей тока в АУМ ведет к подавлению металлической проводимости и к локализации электронов проводимости в ограниченной области пространства. В этом случае наблюдается прыжковая проводимость носителей тока между этими областями локализации. При понижении температуры обычная прыжковая проводимость между ближайшими центрами локализации сменяется прыжковой проводимостью с переменной длиной прыжка (ПППДП) и описывается обобщенным законом Мотта [7]:</w:t>
      </w:r>
    </w:p>
    <w:p w:rsidR="007317FB" w:rsidRPr="00B22AA7" w:rsidRDefault="008B7EFB" w:rsidP="007317F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15.75pt">
            <v:imagedata r:id="rId4" o:title=""/>
          </v:shape>
        </w:pic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где d — размерность пространства при движении носителей тока, В = [l6a3/k^N(EF)], a — обратная величина длины, на которой спадает амплитуда атомной волновой функции (обычно I/a ~ 8-^10 A), N(EF) — плотность состояний на поверхности Ферми, о0 — постоянная.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Для образца № 1 во всем исследованном интервале температур проводимость описывается зависимостью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(2), соответствующей закону Мотта для трехмерного* случая, когда d = 3 (рис. 2).</w:t>
      </w:r>
    </w:p>
    <w:p w:rsidR="007317FB" w:rsidRPr="00B22AA7" w:rsidRDefault="008B7EFB" w:rsidP="007317FB">
      <w:pPr>
        <w:spacing w:before="120"/>
        <w:ind w:firstLine="567"/>
        <w:jc w:val="both"/>
      </w:pPr>
      <w:r>
        <w:pict>
          <v:shape id="_x0000_i1026" type="#_x0000_t75" style="width:181.5pt;height:13.5pt">
            <v:imagedata r:id="rId5" o:title=""/>
          </v:shape>
        </w:pic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Оценка величины В из данных рис. 2 для образца № 1 (линия 1) дает В ~ 6,7 • 106 К. Оценка плотности состояний на поверхности Ферми N(EF) из этого значения параметра В (в предположении I/a ~ 8-^10 А) дает N(EF) ~ 2 • 1019 см~3эВ-1, что типично для дефектных графитов. Другими словами, для образца № 1 наблюдается обычный трехмерный закон Мотта, типичный для неупорядоченных проводников с малой концентрацией носителей тока, которые локализованы в ограниченной области пространства (дефектный графит). Тогда уширение спектров ЭПР локализованных электронов углерода объясняется эффектом «узкого горла» в модели C-S релаксации (7^ очень короткое) за счет электронного газа S графитовых структур [7-9].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Для образцов № 2 и № 3 во всем исследованном интервале температур проводимость описывается зависимостью, соответствующей закону Мотта для одномерного случая, когда d = 1 (рис. 3).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o(7)=Oo-exp(-r0/7)V2</w:t>
      </w:r>
      <w:r>
        <w:t xml:space="preserve"> </w:t>
      </w:r>
      <w:r w:rsidRPr="00B22AA7">
        <w:t>(3)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Следует отметить, что закон Мотта для одномерного** случая уже наблюдался в углеродных структурах с карби-новыми цепочками [10—12], что сопровождается о-подобной температурной зависимостью на рис. 3.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Трехмерная проводимость — свойство вещества, когда носители тока делокализованы во всех направлениях. В идеальном графите имеет место квазидвумерная проводимость — преимущественно вдоль слоя. В поперечном направлении проводимость тоже имеет место (из-за наличия ван-дер-вальсовых связей между слоями). Но эта проводимость более чем на четыре порядка меньше.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Одномерная проводимость реализуется в случае наличия делокализации носителей тока только в одном направлении. В двух других направлениях носители тока двигаться не могут. Обычно это одномерные цепочки атомов или молекул. В случае карбина — вдоль оси карбина.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В связи с обнаружением одномерных структур для образцов № 2 и № 3 становится ясно, что зависимость \/TSL от температуры в этом случае будет существенно более ослаблена по сравнению со случаем трехмерных структур [6]. Это приведет к более слабой зависимости ширины сигнала ЭПР от температуры для образцов № 2 и № 3, по сравнению со случаем трехмерных структур. Заметно большее значение Н для образца № 3 по сравнению с образцом № 2, вероятно, связано с большей концентрацией носителей для образца № 3. Это объясняет более слабую температурную зависимость интегральной интенсивности спектра ЭПР образца № 2, поскольку в таком случае структурное равновесие С о S сдвинуто вправо (типа химического обмена) и в целом для этой системы реализуется что-то типа парамагнетизма Паули, что приводит к слабой зависимости интегральной интенсивности спектра ЭПР от температуры.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Результаты работы позволяют сделать вывод о том, что характеристика АУМ только по элементному составу и характеристикам, полученным на основе анализа изотерм адсорбции азота, будет не полной. В процессе образования АУМ из ароматических предшественников с различными функциональными группами в условиях термокаталитического синтеза при различных времени и температуре карбонизации образуется углеродный материал, обладающий как одномерной, так и трехмерной проводимостью. Одномерная проводимость, по-видимому, связана с образованием карбина, как промежуточной стадии образования АУМ при низких температурах (700 °С), либо при температуре 900 °С и небольшом (до 15 минут) времени карбонизации. При равном содержании платины в катоде (0,02—0,09 мг/см2) и размере частиц платины 2—4 нм выходная мощность топливного элемента, который использует в качестве носителя катализатора АУМ-1, оказалась выше, чем при использовании углеродных нановолокнистых материалов различного строения и стандартного носителя Vulcan XC-72R, по-видимому, из-за одномерной проводимости аморфного углеродного материала, к которой оказались чувствительны реакции на катоде.</w:t>
      </w:r>
    </w:p>
    <w:p w:rsidR="007317FB" w:rsidRPr="001D4DB4" w:rsidRDefault="007317FB" w:rsidP="007317FB">
      <w:pPr>
        <w:spacing w:before="120"/>
        <w:jc w:val="center"/>
        <w:rPr>
          <w:b/>
          <w:bCs/>
          <w:sz w:val="28"/>
          <w:szCs w:val="28"/>
        </w:rPr>
      </w:pPr>
      <w:r w:rsidRPr="001D4DB4">
        <w:rPr>
          <w:b/>
          <w:bCs/>
          <w:sz w:val="28"/>
          <w:szCs w:val="28"/>
        </w:rPr>
        <w:t>Список литературы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1.</w:t>
      </w:r>
      <w:r>
        <w:t xml:space="preserve"> </w:t>
      </w:r>
      <w:r w:rsidRPr="00B22AA7">
        <w:t>Варнаков Ч.Н., Козлов А.П., Сеит-Аблаева С.К. и др. Нефтехимия, 2004, № 6, с. 436—439.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2.</w:t>
      </w:r>
      <w:r>
        <w:t xml:space="preserve"> </w:t>
      </w:r>
      <w:r w:rsidRPr="00B22AA7">
        <w:t>Русанов А.И. Ж. общей химии, 2002, № 4, с. 532—549.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3.</w:t>
      </w:r>
      <w:r>
        <w:t xml:space="preserve"> </w:t>
      </w:r>
      <w:r w:rsidRPr="00B22AA7">
        <w:t>Барнаков Ч.Н.,</w:t>
      </w:r>
      <w:r>
        <w:t xml:space="preserve"> </w:t>
      </w:r>
      <w:r w:rsidRPr="00B22AA7">
        <w:t>Сеит-Аблаева С.К., Козлов А.П. и др. Патент РФ № 2206394, 2003.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4.</w:t>
      </w:r>
      <w:r>
        <w:t xml:space="preserve"> </w:t>
      </w:r>
      <w:r w:rsidRPr="00B22AA7">
        <w:t>Ismagilov Z.R.,</w:t>
      </w:r>
      <w:r>
        <w:t xml:space="preserve"> </w:t>
      </w:r>
      <w:r w:rsidRPr="00B22AA7">
        <w:t>Kerzhentsev M.A.,</w:t>
      </w:r>
      <w:r>
        <w:t xml:space="preserve"> </w:t>
      </w:r>
      <w:r w:rsidRPr="00B22AA7">
        <w:t>Shikina N.V.</w:t>
      </w:r>
      <w:r>
        <w:t xml:space="preserve"> </w:t>
      </w:r>
      <w:r w:rsidRPr="00B22AA7">
        <w:t>e.</w:t>
      </w:r>
      <w:r>
        <w:t xml:space="preserve"> </w:t>
      </w:r>
      <w:r w:rsidRPr="00B22AA7">
        <w:t>a.</w:t>
      </w:r>
      <w:r>
        <w:t xml:space="preserve"> </w:t>
      </w:r>
      <w:r w:rsidRPr="00B22AA7">
        <w:t>Catal. Today, 2005, v. 102-103, p. 58-66.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5.</w:t>
      </w:r>
      <w:r>
        <w:t xml:space="preserve"> </w:t>
      </w:r>
      <w:r w:rsidRPr="00B22AA7">
        <w:t>Равилов Р. Г. Дисс.... канд. физ.-мат. наук..Новосибирск, 1980.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6.</w:t>
      </w:r>
      <w:r>
        <w:t xml:space="preserve"> </w:t>
      </w:r>
      <w:r w:rsidRPr="00B22AA7">
        <w:t>Шкляев А.А., Ануфриенко В.Ф., Васильева Л.М. Доклады АН СССР, 1971, т. 200, № 5, с. 1165.</w:t>
      </w:r>
    </w:p>
    <w:p w:rsidR="007317FB" w:rsidRPr="00C72500" w:rsidRDefault="007317FB" w:rsidP="007317FB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 xml:space="preserve">7. Hasegawa </w:t>
      </w:r>
      <w:r w:rsidRPr="00B22AA7">
        <w:t>Н</w:t>
      </w:r>
      <w:r w:rsidRPr="00C72500">
        <w:rPr>
          <w:lang w:val="en-US"/>
        </w:rPr>
        <w:t>. Progr. Theor. Phys., 1959, v. 21, № 4, p. 483— 500.</w:t>
      </w:r>
    </w:p>
    <w:p w:rsidR="007317FB" w:rsidRPr="00C72500" w:rsidRDefault="007317FB" w:rsidP="007317FB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8. Hirst L.L., Schafer W. Phys. Rev., B, 1973, v. 8, № 1, p. 64.</w:t>
      </w:r>
    </w:p>
    <w:p w:rsidR="007317FB" w:rsidRPr="00B22AA7" w:rsidRDefault="007317FB" w:rsidP="007317FB">
      <w:pPr>
        <w:spacing w:before="120"/>
        <w:ind w:firstLine="567"/>
        <w:jc w:val="both"/>
      </w:pPr>
      <w:r w:rsidRPr="00C72500">
        <w:rPr>
          <w:lang w:val="en-US"/>
        </w:rPr>
        <w:t xml:space="preserve">9. Gossard A.C., Heugar A.J., Wernick J.H. J. Appl. </w:t>
      </w:r>
      <w:r w:rsidRPr="00B22AA7">
        <w:t>Phys., 1967, v. 38, № 1, p. 12-51.</w:t>
      </w:r>
    </w:p>
    <w:p w:rsidR="007317FB" w:rsidRDefault="007317FB" w:rsidP="007317FB">
      <w:pPr>
        <w:spacing w:before="120"/>
        <w:ind w:firstLine="567"/>
        <w:jc w:val="both"/>
      </w:pPr>
      <w:r>
        <w:t>10</w:t>
      </w:r>
      <w:r w:rsidRPr="00B22AA7">
        <w:t>емишев С.В., Пронин А.А., Глушков В.В. и др. Письма в</w:t>
      </w:r>
      <w:r>
        <w:t xml:space="preserve"> </w:t>
      </w:r>
      <w:r w:rsidRPr="00B22AA7">
        <w:t xml:space="preserve">ЖЭТФ, 2003, № 8, с. 984-993. </w:t>
      </w:r>
    </w:p>
    <w:p w:rsidR="007317FB" w:rsidRPr="001D4DB4" w:rsidRDefault="007317FB" w:rsidP="007317FB">
      <w:pPr>
        <w:spacing w:before="120"/>
        <w:ind w:firstLine="567"/>
        <w:jc w:val="both"/>
        <w:rPr>
          <w:lang w:val="en-US"/>
        </w:rPr>
      </w:pPr>
      <w:r w:rsidRPr="007317FB">
        <w:t xml:space="preserve">11. </w:t>
      </w:r>
      <w:r w:rsidRPr="001D4DB4">
        <w:rPr>
          <w:lang w:val="en-US"/>
        </w:rPr>
        <w:t>Shenderova</w:t>
      </w:r>
      <w:r w:rsidRPr="007317FB">
        <w:t xml:space="preserve"> </w:t>
      </w:r>
      <w:r w:rsidRPr="00B22AA7">
        <w:t>О</w:t>
      </w:r>
      <w:r w:rsidRPr="007317FB">
        <w:t>.</w:t>
      </w:r>
      <w:r w:rsidRPr="001D4DB4">
        <w:rPr>
          <w:lang w:val="en-US"/>
        </w:rPr>
        <w:t>A</w:t>
      </w:r>
      <w:r w:rsidRPr="007317FB">
        <w:t xml:space="preserve">., </w:t>
      </w:r>
      <w:r w:rsidRPr="001D4DB4">
        <w:rPr>
          <w:lang w:val="en-US"/>
        </w:rPr>
        <w:t>Zhirnov</w:t>
      </w:r>
      <w:r w:rsidRPr="007317FB">
        <w:t xml:space="preserve"> </w:t>
      </w:r>
      <w:r w:rsidRPr="001D4DB4">
        <w:rPr>
          <w:lang w:val="en-US"/>
        </w:rPr>
        <w:t>V</w:t>
      </w:r>
      <w:r w:rsidRPr="007317FB">
        <w:t>.</w:t>
      </w:r>
      <w:r w:rsidRPr="001D4DB4">
        <w:rPr>
          <w:lang w:val="en-US"/>
        </w:rPr>
        <w:t>V</w:t>
      </w:r>
      <w:r w:rsidRPr="007317FB">
        <w:t xml:space="preserve">., </w:t>
      </w:r>
      <w:r w:rsidRPr="001D4DB4">
        <w:rPr>
          <w:lang w:val="en-US"/>
        </w:rPr>
        <w:t>Brenner</w:t>
      </w:r>
      <w:r w:rsidRPr="007317FB">
        <w:t xml:space="preserve"> </w:t>
      </w:r>
      <w:r w:rsidRPr="001D4DB4">
        <w:rPr>
          <w:lang w:val="en-US"/>
        </w:rPr>
        <w:t>D</w:t>
      </w:r>
      <w:r w:rsidRPr="007317FB">
        <w:t xml:space="preserve">. </w:t>
      </w:r>
      <w:r w:rsidRPr="001D4DB4">
        <w:rPr>
          <w:lang w:val="en-US"/>
        </w:rPr>
        <w:t>W</w:t>
      </w:r>
      <w:r w:rsidRPr="007317FB">
        <w:t xml:space="preserve">. </w:t>
      </w:r>
      <w:r w:rsidRPr="001D4DB4">
        <w:rPr>
          <w:lang w:val="en-US"/>
        </w:rPr>
        <w:t>Crit</w:t>
      </w:r>
      <w:r w:rsidRPr="007317FB">
        <w:t xml:space="preserve">. </w:t>
      </w:r>
      <w:r w:rsidRPr="001D4DB4">
        <w:rPr>
          <w:lang w:val="en-US"/>
        </w:rPr>
        <w:t xml:space="preserve">Revs Solid State Mat. Sci., 2002, v. 27(3/4), p. 227-356. </w:t>
      </w:r>
    </w:p>
    <w:p w:rsidR="007317FB" w:rsidRPr="00B22AA7" w:rsidRDefault="007317FB" w:rsidP="007317FB">
      <w:pPr>
        <w:spacing w:before="120"/>
        <w:ind w:firstLine="567"/>
        <w:jc w:val="both"/>
      </w:pPr>
      <w:r w:rsidRPr="00B22AA7">
        <w:t>12. Сладкое</w:t>
      </w:r>
      <w:r>
        <w:t xml:space="preserve"> </w:t>
      </w:r>
      <w:r w:rsidRPr="00B22AA7">
        <w:t>A.M.</w:t>
      </w:r>
      <w:r>
        <w:t xml:space="preserve"> </w:t>
      </w:r>
      <w:r w:rsidRPr="00B22AA7">
        <w:t>Карбины</w:t>
      </w:r>
      <w:r>
        <w:t xml:space="preserve"> </w:t>
      </w:r>
      <w:r w:rsidRPr="00B22AA7">
        <w:t>—</w:t>
      </w:r>
      <w:r>
        <w:t xml:space="preserve"> </w:t>
      </w:r>
      <w:r w:rsidRPr="00B22AA7">
        <w:t>третья</w:t>
      </w:r>
      <w:r>
        <w:t xml:space="preserve"> </w:t>
      </w:r>
      <w:r w:rsidRPr="00B22AA7">
        <w:t>аллотропная</w:t>
      </w:r>
      <w:r>
        <w:t xml:space="preserve"> </w:t>
      </w:r>
      <w:r w:rsidRPr="00B22AA7">
        <w:t>форма</w:t>
      </w:r>
      <w:r>
        <w:t xml:space="preserve"> </w:t>
      </w:r>
      <w:r w:rsidRPr="00B22AA7">
        <w:t>углерода.</w:t>
      </w:r>
      <w:r>
        <w:t xml:space="preserve"> </w:t>
      </w:r>
      <w:r w:rsidRPr="00B22AA7">
        <w:t>Отв.</w:t>
      </w:r>
      <w:r>
        <w:t xml:space="preserve"> </w:t>
      </w:r>
      <w:r w:rsidRPr="00B22AA7">
        <w:t>редактор</w:t>
      </w:r>
      <w:r>
        <w:t xml:space="preserve"> </w:t>
      </w:r>
      <w:r w:rsidRPr="00B22AA7">
        <w:t>Ю.Н. Бубнов.</w:t>
      </w:r>
      <w:r>
        <w:t xml:space="preserve"> </w:t>
      </w:r>
      <w:r w:rsidRPr="00B22AA7">
        <w:t>М.:</w:t>
      </w:r>
      <w:r>
        <w:t xml:space="preserve"> </w:t>
      </w:r>
      <w:r w:rsidRPr="00B22AA7">
        <w:t>Наука,</w:t>
      </w:r>
      <w:r>
        <w:t xml:space="preserve"> </w:t>
      </w:r>
      <w:r w:rsidRPr="00B22AA7">
        <w:t>2003,</w:t>
      </w:r>
      <w:r>
        <w:t xml:space="preserve"> </w:t>
      </w:r>
      <w:r w:rsidRPr="00B22AA7">
        <w:t>151 с.</w:t>
      </w:r>
      <w:r>
        <w:t xml:space="preserve"> </w:t>
      </w:r>
      <w:r w:rsidRPr="00B22AA7">
        <w:t>57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7FB"/>
    <w:rsid w:val="000E19DF"/>
    <w:rsid w:val="001D4DB4"/>
    <w:rsid w:val="005051C5"/>
    <w:rsid w:val="006B11B3"/>
    <w:rsid w:val="007317FB"/>
    <w:rsid w:val="008B7EFB"/>
    <w:rsid w:val="00B16818"/>
    <w:rsid w:val="00B22AA7"/>
    <w:rsid w:val="00C72500"/>
    <w:rsid w:val="00EC6AA7"/>
    <w:rsid w:val="00F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EC570B41-7922-4BC6-BE1D-2AFB5C63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31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свойств аморфного углеродного материала как носителя электродных катализаторов для топливных элементов</vt:lpstr>
    </vt:vector>
  </TitlesOfParts>
  <Company>Home</Company>
  <LinksUpToDate>false</LinksUpToDate>
  <CharactersWithSpaces>13680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свойств аморфного углеродного материала как носителя электродных катализаторов для топливных элементов</dc:title>
  <dc:subject/>
  <dc:creator>User</dc:creator>
  <cp:keywords/>
  <dc:description/>
  <cp:lastModifiedBy>admin</cp:lastModifiedBy>
  <cp:revision>2</cp:revision>
  <dcterms:created xsi:type="dcterms:W3CDTF">2014-02-14T16:33:00Z</dcterms:created>
  <dcterms:modified xsi:type="dcterms:W3CDTF">2014-02-14T16:33:00Z</dcterms:modified>
</cp:coreProperties>
</file>