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3B" w:rsidRPr="00462361" w:rsidRDefault="00BC063B" w:rsidP="00BC063B">
      <w:pPr>
        <w:spacing w:before="120"/>
        <w:jc w:val="center"/>
        <w:rPr>
          <w:b/>
          <w:bCs/>
          <w:sz w:val="32"/>
          <w:szCs w:val="32"/>
        </w:rPr>
      </w:pPr>
      <w:r w:rsidRPr="00462361">
        <w:rPr>
          <w:b/>
          <w:bCs/>
          <w:sz w:val="32"/>
          <w:szCs w:val="32"/>
        </w:rPr>
        <w:t>Налоговые риски при долевом строительстве</w:t>
      </w:r>
    </w:p>
    <w:p w:rsidR="00BC063B" w:rsidRPr="00462361" w:rsidRDefault="00BC063B" w:rsidP="00BC063B">
      <w:pPr>
        <w:spacing w:before="120"/>
        <w:ind w:firstLine="567"/>
        <w:jc w:val="both"/>
        <w:rPr>
          <w:sz w:val="28"/>
          <w:szCs w:val="28"/>
        </w:rPr>
      </w:pPr>
      <w:r w:rsidRPr="00462361">
        <w:rPr>
          <w:sz w:val="28"/>
          <w:szCs w:val="28"/>
        </w:rPr>
        <w:t xml:space="preserve">Георгий Гордеев, ведущий специалист Центра налогового планирования «Корпус права»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Обязанность застройщика по договору долевого строительства платить НДС не подвергается сомнению. Однако размер подлежащих к уплате сумм теоретически возможно уменьшить.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С апреля 2005 года отношения по долевому участию в строительстве регулируются новым Федеральным законом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Закон). Нормы этого документа применимы также и к строительству деловой недвижимости (например, объектов общественного питания, предпринимательской деятельности, торговли). В то же время они не затрагивают объекты недвижимости производственного назначения.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Закон обязателен для всех компаний, не имевших на 1 апреля 2005 года разрешение на строительство. Если же на дату вступления Закона в силу застройщик такое разрешение получил, то требования Закона на него не распространяются. </w:t>
      </w:r>
    </w:p>
    <w:p w:rsidR="00BC063B" w:rsidRPr="00462361" w:rsidRDefault="00BC063B" w:rsidP="00BC063B">
      <w:pPr>
        <w:spacing w:before="120"/>
        <w:jc w:val="center"/>
        <w:rPr>
          <w:b/>
          <w:bCs/>
          <w:sz w:val="28"/>
          <w:szCs w:val="28"/>
        </w:rPr>
      </w:pPr>
      <w:r w:rsidRPr="00462361">
        <w:rPr>
          <w:b/>
          <w:bCs/>
          <w:sz w:val="28"/>
          <w:szCs w:val="28"/>
        </w:rPr>
        <w:t xml:space="preserve">Новый порядок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В отличие от Федерального закона от 25 февраля 1999 г. № 39-ФЗ «Об инвестиционной деятельности в Российской Федерации, осуществляемой в форме капитальных вложений», новый Закон регулирует только отношения, связанные с привлечением в строительство денежных средств. Вложения ценных бумаг и иного имущества, в том числе имущественных прав и иных прав, имеющих денежную оценку, выходят за его рамки.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Что же изменилось с принятием Закона? Теперь привлекать для строительства денежные средства от физических лиц можно только на основании договора участия в долевом строительстве. Все компании, занимающиеся этим, обязаны отвечать ряду требований. Так, они должны иметь в собственности или арендовать земельный участок, иметь разрешение на строительство, опубликовать проектную декларацию.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Согласно Закону, сторонами договора участия в долевом строительстве выступают застройщик и участники долевого строительства. Застройщик обязуется своими силами или с привлечением других лиц создать объект недвижимости и передать его участникам. Те же обязуются уплатить обусловленную договором цену и принять объект.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Договор на участие в долевом строительстве следует квалифицировать как договор подряда со специальными условиями, предусмотренными Законом. К ним относятся (ст.ст. 4-9 Закона):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обязательная государственная регистрация договора;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определение подлежащего передаче объекта долевого строительства;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срок передачи застройщиком объекта;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цена договора, сроки и порядок ее уплаты;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гарантийный срок на объект долевого строительства (не менее пяти лет);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порядок одностороннего расторжения договора участником долевого строительства;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размер неустойки, подлежащей уплате сторонами за нарушение своих обязательств;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обеспечение обязательств застройщика залогом.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НДС обязателен, его размер - нет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Как уже было сказано, договор на участие в долевом строительстве следует считать договором подряда. Однако это создает для застройщика значительные трудности в налоговом планировании. Выполнение им своих функций для целей налогообложения является реализацией работ. Таким образом, деятельность застройщика будет облагаться налогом на добавленную стоимость.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В то же время Закон позволяет оптимизировать суммы НДС за счет уменьшения налоговой базы. Базой при реализации работ признается их стоимость в соответствии с заключенным договором (ст. 154 НК РФ). Цена договора на участие в долевом строительстве может определяться двумя способами. Во-первых, как сумма денежных средств, которые заказчик перечисляет застройщику для выполнения им работ. Во-вторых, как сумма денежных средств на возмещение затрат застройщика плюс на оплату самих работ (ст. 5 Закона). В первом случае налоговая база по НДС будет определяться исходя из всей суммы, перечисленной заказчиком застройщику. Во втором же – НДС будет уплачиваться только с вознаграждения застройщика.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Здесь надо принять во внимание, что налогом на добавленную стоимость облагаются в том числе и авансы. Поэтому возможно разбить суммы, перечисляемые застройщику, на возмещение расходов и собственно оплату работ. Это позволит застройщику значительно сэкономить на налоговых платежах. Если договором предусмотрены поэтапные выплаты, целесообразно последний платеж назвать в тексте договора оплатой работ застройщика.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Скорее всего, этот момент будет оспариваться налоговыми органами. Как правило, они настаивают на том, что расходы, понесенные подрядчиком и возмещаемые заказчиком, увеличивают размер вознаграждения подрядчика (письмо Минфина РФ от 19 сентября 2003 г. № 04-03-11/75). Поэтому такой вариант является рискованным. </w:t>
      </w:r>
    </w:p>
    <w:p w:rsidR="00BC063B" w:rsidRPr="00462361" w:rsidRDefault="00BC063B" w:rsidP="00BC063B">
      <w:pPr>
        <w:spacing w:before="120"/>
        <w:jc w:val="center"/>
        <w:rPr>
          <w:b/>
          <w:bCs/>
          <w:sz w:val="28"/>
          <w:szCs w:val="28"/>
        </w:rPr>
      </w:pPr>
      <w:r w:rsidRPr="00462361">
        <w:rPr>
          <w:b/>
          <w:bCs/>
          <w:sz w:val="28"/>
          <w:szCs w:val="28"/>
        </w:rPr>
        <w:t xml:space="preserve">Возможности инвестиционных договоров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Ранее денежные средства граждан и организаций для строительства объектов недвижимости привлекались на основании инвестиционного договора. Теперь же применять эту конструкцию возможно, только если деньги поступают от юридических лиц и предпринимателей.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Условия инвестиционного договора позволяют квалифицировать его как договор простого товарищества (совместной деятельности). Рассматривать его как договор подряда нельзя по следующим соображениям.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Во-первых, предметом договора простого товарищества является совместная деятельность сторон, направленная на достижение закрепленной в договоре цели. По договору подряда работы выполняет застройщик, после чего передает их результаты заказчику (участнику долевого строительства).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Во-вторых, по договору подряда заказчик оплачивает работы застройщика. В то же время по договору простого товарищества имущество находится в общей долевой собственности товарищей.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И в-третьих, участники простого товарищества самостоятельно несут риски возникновения убытков. В договоре подряда все риски несет застройщик.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В инвестиционных договорах, заключаемых в форме простого товарищества, устанавливается размер вклада каждого из товарищей и соответствующая ему площадь объекта недвижимости. По окончании строительства участники инвестиционного контракта составляют документ о распределении между ними площадей построенного здания. Согласно условиям контракта каждая из сторон самостоятельно оформляет право собственности на получаемые объекты недвижимости.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Чтобы обосновать квалификацию инвестиционного контракта как договора простого товарищества, необходимо включить в его текст следующие условия (ст.ст. 1041-1046 ГК РФ):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объединение имущества участников договора для достижения общей цели. При этом следует отметить, что вклад в простое товарищество не может быть возмездным. Он вносится лишь с целью участия товарища в совместной деятельности и дает ему право на долю общего имущества при его распределении;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имущество, которое было внесено или получено по результатам совместной деятельности, признается общей долевой собственностью товарищей, если иное не предусмотрено договором или законом;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соглашение товарищей определяет порядок покрытия общих расходов и убытков. </w:t>
      </w:r>
    </w:p>
    <w:p w:rsidR="00BC063B" w:rsidRPr="00462361" w:rsidRDefault="00BC063B" w:rsidP="00BC063B">
      <w:pPr>
        <w:spacing w:before="120"/>
        <w:jc w:val="center"/>
        <w:rPr>
          <w:b/>
          <w:bCs/>
          <w:sz w:val="28"/>
          <w:szCs w:val="28"/>
        </w:rPr>
      </w:pPr>
      <w:r w:rsidRPr="00462361">
        <w:rPr>
          <w:b/>
          <w:bCs/>
          <w:sz w:val="28"/>
          <w:szCs w:val="28"/>
        </w:rPr>
        <w:t xml:space="preserve">Товарищи НДС не платят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Налогообложение при простом товариществе и при договоре о долевом строительстве значительно отличается. Передача имущества в рамках договора простого товарищества не облагается налогом на добавленную стоимость (подп. 1 п. 2 ст. 146, подп. 4 п. 3 ст. 39 НК РФ). Поэтому в платежи инвестора подрядчику, являющемуся товарищем, НДС включаться не будет. Привлечение денежных средств соинвесторов, оформленное договором простого товарищества, также не приводит к возникновению обязанности по уплате НДС. Ведь Налоговый кодекс не признает реализацией передачу имущества, если она носит инвестиционный характер.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Часто возникает ситуация, когда кто-то из инвесторов переуступает третьему лицу свое право требования к застройщику. В данном случае объект обложения НДС не возникает. Дело в том, что переуступаемое право требования не вытекает из договора, направленного на реализацию товаров (ст. 155 НК РФ; п остановление Федерального арбитражного суда Уральского округа от 25 декабря 2003 г. № Ф09-4421/03-АК ).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Отдельно скажем об одной особенности налогообложения прибыли, относящейся к договору простого товарищества. Деньги, полученные на строительство, являются целевым финансированием. У инвестора налогом на прибыль они не облагаются. К целевому финансированию относятся средства дольщиков, аккумулированные на счетах застройщика (подп. 14 п. 1 ст. 251 НК РФ). Эти суммы застройщик использует только на инвестирование в строительство в соответствии с назначением, определенным в договоре. В случае нецелевого расходования средств они включаются в состав внереализационных доходов (п. 14 ст. 250 НК РФ). Инвестор должен вести раздельный учет доходов, полученных в рамках целевого финансирования, а также произведенных расходов. Иначе суммы финансирования будут облагаться налогом на прибыль с даты их получения. </w:t>
      </w:r>
    </w:p>
    <w:p w:rsidR="00BC063B" w:rsidRPr="00462361" w:rsidRDefault="00BC063B" w:rsidP="00BC063B">
      <w:pPr>
        <w:spacing w:before="120"/>
        <w:jc w:val="center"/>
        <w:rPr>
          <w:b/>
          <w:bCs/>
          <w:sz w:val="28"/>
          <w:szCs w:val="28"/>
        </w:rPr>
      </w:pPr>
      <w:r w:rsidRPr="00462361">
        <w:rPr>
          <w:b/>
          <w:bCs/>
          <w:sz w:val="28"/>
          <w:szCs w:val="28"/>
        </w:rPr>
        <w:t xml:space="preserve">Альтернативные варианты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Взаимоотношения участников строительства могут принимать и иные формы, являющиеся фактически незаконными. Так, схема, называемая «вексельной», дает возможность работать по закону об инвестиционной деятельности, а не по закону о долевом участии в строительстве. Для этого инвестор вносит в «оплату» по договору не денежные средства, а вексель, полученный в банке. После этого заказчик получает от банка деньги по векселю и ведет строительство на полученные средства. По окончании строительства заказчик передает объект недвижимости инвестору.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Другой вариант: инвестор выплачивает деньги застройщику по договору займа, после чего объект недвижимости передается как отступное. Чтобы сделка не была признана притворной, можно начислять проценты за заем. Проблема заключается в том, что у инвестора нет гарантий того, что впоследствии он получит квартиру. По окончании договора займа застройщик может просто вернуть ему деньги. При этом указать в договоре, что застройщик обязан передать результат строительных работ в качестве отступного, нельзя. Это повлечет признание договора займа притворной сделкой, прикрывающей договор участия в долевом строительстве.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Необходимо помнить, что подобные варианты являются крайне рискованными. И хотя нам известно, что некоторые застройщики их используют – это варианты до первого судебного процесса с инвестором. </w:t>
      </w:r>
    </w:p>
    <w:p w:rsidR="00BC063B" w:rsidRPr="00462361" w:rsidRDefault="00BC063B" w:rsidP="00BC063B">
      <w:pPr>
        <w:spacing w:before="120"/>
        <w:jc w:val="center"/>
        <w:rPr>
          <w:b/>
          <w:bCs/>
          <w:sz w:val="28"/>
          <w:szCs w:val="28"/>
        </w:rPr>
      </w:pPr>
      <w:r w:rsidRPr="00462361">
        <w:rPr>
          <w:b/>
          <w:bCs/>
          <w:sz w:val="28"/>
          <w:szCs w:val="28"/>
        </w:rPr>
        <w:t xml:space="preserve">Мнение </w:t>
      </w:r>
    </w:p>
    <w:p w:rsidR="00BC063B" w:rsidRPr="00462361" w:rsidRDefault="00BC063B" w:rsidP="00BC063B">
      <w:pPr>
        <w:spacing w:before="120"/>
        <w:jc w:val="center"/>
        <w:rPr>
          <w:b/>
          <w:bCs/>
          <w:sz w:val="28"/>
          <w:szCs w:val="28"/>
        </w:rPr>
      </w:pPr>
      <w:r w:rsidRPr="00462361">
        <w:rPr>
          <w:b/>
          <w:bCs/>
          <w:sz w:val="28"/>
          <w:szCs w:val="28"/>
        </w:rPr>
        <w:t xml:space="preserve">Терминологическая путаница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Константин Игонин , заместитель директора по правовым вопросам ЛИСТИК и ПАРТНЕРЫ тм :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« В главе 25 Налогового кодекса содержится целый ряд институтов и терминов, относящихся к сфере долевого участия в строительстве: «дольщик», «инвестор», «аккумулирование средств». Однако их суть четко Кодексом не определена. Более того, не вполне понятно, как соотносятся нормы закона «Об участии в долевом строительстве…» и налогового законодательства. Например, идентичен ли участник долевого строительства «дольщику (инвестору)»? Идентично ли получение застройщиком договорной цены от участника «аккумулированию на его счетах средств» дольщиков? </w:t>
      </w:r>
    </w:p>
    <w:p w:rsidR="00BC063B" w:rsidRPr="00B369EA" w:rsidRDefault="00BC063B" w:rsidP="00BC063B">
      <w:pPr>
        <w:spacing w:before="120"/>
        <w:ind w:firstLine="567"/>
        <w:jc w:val="both"/>
      </w:pPr>
      <w:r w:rsidRPr="00B369EA">
        <w:t xml:space="preserve">По нашему мнению, к операциям, совершаемым заказчиком, должны применяться общие правила налогообложения при реализации работ. Это показывает анализ содержания прав и обязанностей сторон договора участия в долевом строительстве. Так, основное обязательство застройщика («построить и передать объект») полностью соответствует понятию «работа» для целей налогообложения (п. 4 ст. 38 НК РФ). А передача результата выполненной работы на возмездной основе признается реализацией».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63B"/>
    <w:rsid w:val="00433130"/>
    <w:rsid w:val="00462361"/>
    <w:rsid w:val="00616072"/>
    <w:rsid w:val="008B35EE"/>
    <w:rsid w:val="00902063"/>
    <w:rsid w:val="00B369EA"/>
    <w:rsid w:val="00B42C45"/>
    <w:rsid w:val="00B47B6A"/>
    <w:rsid w:val="00B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F1C7C0-303F-4F59-A144-7D431357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63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C063B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7191</Words>
  <Characters>4099</Characters>
  <Application>Microsoft Office Word</Application>
  <DocSecurity>0</DocSecurity>
  <Lines>34</Lines>
  <Paragraphs>22</Paragraphs>
  <ScaleCrop>false</ScaleCrop>
  <Company>Home</Company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Налоговые риски при долевом строительстве</dc:title>
  <dc:subject/>
  <dc:creator>User</dc:creator>
  <cp:keywords/>
  <dc:description/>
  <cp:lastModifiedBy>admin</cp:lastModifiedBy>
  <cp:revision>2</cp:revision>
  <dcterms:created xsi:type="dcterms:W3CDTF">2014-01-24T17:09:00Z</dcterms:created>
  <dcterms:modified xsi:type="dcterms:W3CDTF">2014-01-24T17:09:00Z</dcterms:modified>
</cp:coreProperties>
</file>