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0D" w:rsidRDefault="004A19FE">
      <w:pPr>
        <w:pStyle w:val="1"/>
        <w:jc w:val="center"/>
      </w:pPr>
      <w:r>
        <w:t>Влияние новых синтетических йодсодержащих препаратов на переваримость, баланс и конверсию в яйцо минеральных веществ корма в организме кур-несушек</w:t>
      </w:r>
    </w:p>
    <w:p w:rsidR="00250D0D" w:rsidRPr="004A19FE" w:rsidRDefault="004A19FE">
      <w:pPr>
        <w:pStyle w:val="a3"/>
      </w:pPr>
      <w:r>
        <w:t> </w:t>
      </w:r>
    </w:p>
    <w:p w:rsidR="00250D0D" w:rsidRDefault="004A19FE">
      <w:pPr>
        <w:pStyle w:val="a3"/>
      </w:pPr>
      <w:r>
        <w:t>А.А. Шапошников, С.Д. Чернявских, Д.В. Дейнека</w:t>
      </w:r>
    </w:p>
    <w:p w:rsidR="00250D0D" w:rsidRDefault="004A19FE">
      <w:pPr>
        <w:pStyle w:val="a3"/>
      </w:pPr>
      <w:r>
        <w:t>Белгородский государственный университет</w:t>
      </w:r>
    </w:p>
    <w:p w:rsidR="00250D0D" w:rsidRDefault="004A19FE">
      <w:pPr>
        <w:pStyle w:val="a3"/>
      </w:pPr>
      <w:r>
        <w:t>В работе на основе обменного опыта было исследовано влияние йодовидона отдельно и в сочетании с Р-каротином на накопление минеральных веществ в организме и яйце кур-несушек кросса «Иза-Браун». Установлено, что использование йодсодержащей добавки как отдельно, так и в сочетании с витаминным препаратом не оказывает отрицательного влияния на кальций-фосфорный обмен (повышая накопление элементов как в яйцах, так и в организме), а также способствует значительному повышению содержания йода в яйцах кур. При этом совместное введение курам йодовидона с Р-каротином повышает интенсивность накопления йода по сравнению с использованием йодовидона отдельно.</w:t>
      </w:r>
    </w:p>
    <w:p w:rsidR="00250D0D" w:rsidRDefault="004A19FE">
      <w:pPr>
        <w:pStyle w:val="a3"/>
      </w:pPr>
      <w:r>
        <w:t>Введение</w:t>
      </w:r>
    </w:p>
    <w:p w:rsidR="00250D0D" w:rsidRDefault="004A19FE">
      <w:pPr>
        <w:pStyle w:val="a3"/>
      </w:pPr>
      <w:r>
        <w:t>Многие микроэлементы, играющие важную роль в регуляции жизненно важных функций организма человека, являются лимитирующими из-за своего низкого содержания в окружающей среде. Для России чрезвычайно актуальна проблема йодного дефицита [1, 2]. С биологической точки зрения, для восполнения недостатка этого элемента человеку предпочтительнее использовать продукты питания животного происхождения, в которых йод находится в составе органических соединений, усвоенных и трансформированных организмом животных. Высокой эффективностью обладают казеиновые и другие природные белковые комплексы йода. Именно в таком виде йод содержится в яйцах кур [3].</w:t>
      </w:r>
    </w:p>
    <w:p w:rsidR="00250D0D" w:rsidRDefault="004A19FE">
      <w:pPr>
        <w:pStyle w:val="a3"/>
      </w:pPr>
      <w:r>
        <w:t>Целью нашей работы было изучение влияния новых синтетических йодсодержащих препаратов на переваримость, баланс и конверсию в яйцо минеральных веществ корма в организме кур-несушек.</w:t>
      </w:r>
    </w:p>
    <w:p w:rsidR="00250D0D" w:rsidRDefault="004A19FE">
      <w:pPr>
        <w:pStyle w:val="a3"/>
      </w:pPr>
      <w:r>
        <w:t>Экспериментальная часть</w:t>
      </w:r>
    </w:p>
    <w:p w:rsidR="00250D0D" w:rsidRDefault="004A19FE">
      <w:pPr>
        <w:pStyle w:val="a3"/>
      </w:pPr>
      <w:r>
        <w:t>Для достижения цели на курах-несушках кросса «Иза-Браун» в условиях вивария БелГУ был проведен обменный опыт в соответствии с методикой ВНИТИП [4, 5]. Для опыта отобрали 9 кур - аналогов по живой массе, клиническому состоянию и уровню продуктивности. Из них сформировали три группы.</w:t>
      </w:r>
    </w:p>
    <w:p w:rsidR="00250D0D" w:rsidRDefault="004A19FE">
      <w:pPr>
        <w:pStyle w:val="a3"/>
      </w:pPr>
      <w:r>
        <w:t>Подопытная птица в качестве основного рациона (ОР) получала полноценный и сбалансированный по питательным и биологически активным веществам комбикорм [6]. Наряду с ОР птице I и II опытных групп перорально 1 раз в четыре дня в течение шести недель до начала обменного опыта вводили раствор йодовидона в чистом виде и в сочетании с Р- каротином соответственно, курам контроля - равный объем дистиллированной воды.</w:t>
      </w:r>
    </w:p>
    <w:p w:rsidR="00250D0D" w:rsidRDefault="004A19FE">
      <w:pPr>
        <w:pStyle w:val="a3"/>
      </w:pPr>
      <w:r>
        <w:t>По результатам обменного опыта и химического анализа кормов, их остатков и продуктов обмена определяли баланс отдельных минеральных веществ в организме птицы и их переваримость.</w:t>
      </w:r>
    </w:p>
    <w:p w:rsidR="00250D0D" w:rsidRDefault="004A19FE">
      <w:pPr>
        <w:pStyle w:val="a3"/>
      </w:pPr>
      <w:r>
        <w:t>Список литературы</w:t>
      </w:r>
    </w:p>
    <w:p w:rsidR="00250D0D" w:rsidRDefault="004A19FE">
      <w:pPr>
        <w:pStyle w:val="a3"/>
      </w:pPr>
      <w:r>
        <w:t>Биологическая эффективность использования минеральных веществ в организме определяется не только уровнем сбалансированности рационов по питательным и биологически активным веществам, но и степенью усвоения и депонирования макро- и микроэлементов, взаимодействием их между собой и другими питательными веществами в процессе всасывания, транспорта и экскреции [7, 8]. В связи с этим было изучено влияние йодсодержащих добавок на усвоение, переваримость и баланс кальция, фосфора и йода.</w:t>
      </w:r>
    </w:p>
    <w:p w:rsidR="00250D0D" w:rsidRDefault="004A19FE">
      <w:pPr>
        <w:pStyle w:val="a3"/>
      </w:pPr>
      <w:r>
        <w:t>Куры опытных групп больше потребляли кальция и фосфора: на 6,0% - первая и на 7,0% - вторая. Выделение с пометом кальция было ниже соответственно на 13,2 и 3,3% у первой и второй опытных групп, чем в контроле (табл. 1).</w:t>
      </w:r>
    </w:p>
    <w:p w:rsidR="00250D0D" w:rsidRDefault="004A19FE">
      <w:pPr>
        <w:pStyle w:val="a3"/>
      </w:pPr>
      <w:r>
        <w:t>Таблица 1</w:t>
      </w:r>
    </w:p>
    <w:p w:rsidR="00250D0D" w:rsidRDefault="004A19FE">
      <w:pPr>
        <w:pStyle w:val="a3"/>
      </w:pPr>
      <w:r>
        <w:t>Переваримость, баланс и конверсия в яйцо кальция рациона, на гол./сут.</w:t>
      </w:r>
    </w:p>
    <w:p w:rsidR="00250D0D" w:rsidRDefault="004A19FE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</w:tblGrid>
      <w:tr w:rsidR="00250D0D">
        <w:trPr>
          <w:trHeight w:val="25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250D0D" w:rsidRDefault="004A19FE">
            <w:r>
              <w:t>Показатели, ед. изм.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50D0D" w:rsidRDefault="004A19FE">
            <w:r>
              <w:t>Г руппы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50D0D" w:rsidRDefault="00250D0D"/>
        </w:tc>
        <w:tc>
          <w:tcPr>
            <w:tcW w:w="0" w:type="auto"/>
            <w:vAlign w:val="center"/>
            <w:hideMark/>
          </w:tcPr>
          <w:p w:rsidR="00250D0D" w:rsidRDefault="004A19FE">
            <w:r>
              <w:t>контрольная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I (опытная)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II (опытная)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Потреблено, 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1,98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2,10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2,12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Выделено с помётом, 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0,62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0,53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0,60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Усвоено, 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1,37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1,57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1,52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Переваримость, %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68,90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74,60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71,90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Выделено с яйцом, 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0,94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1,03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1,02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Конверсия в яйцо,%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47,60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49,00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48,10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Баланс, 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0,42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0,54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0,50</w:t>
            </w:r>
          </w:p>
        </w:tc>
      </w:tr>
    </w:tbl>
    <w:p w:rsidR="00250D0D" w:rsidRPr="004A19FE" w:rsidRDefault="004A19FE">
      <w:pPr>
        <w:pStyle w:val="a3"/>
      </w:pPr>
      <w:r>
        <w:t>Усвоение и переваримость этого элемента в результате оказались выше контроля в первой группе соответственно на 14,7 и 8,2%, во второй - на 11,6 и 4,4%.</w:t>
      </w:r>
    </w:p>
    <w:p w:rsidR="00250D0D" w:rsidRDefault="004A19FE">
      <w:pPr>
        <w:pStyle w:val="a3"/>
      </w:pPr>
      <w:r>
        <w:t>Более интенсивная конверсия в яйцо кальция у кур опытных групп не отразилась отрицательно на его балансе: он был выше на 27,0% - в первой и на 19,4% - во второй, чем в контроле.</w:t>
      </w:r>
    </w:p>
    <w:p w:rsidR="00250D0D" w:rsidRDefault="004A19FE">
      <w:pPr>
        <w:pStyle w:val="a3"/>
      </w:pPr>
      <w:r>
        <w:t>Выделение фосфора было ниже на 11,9 и 11,3% соответственно в первой и второй группах, чем в контроле, усвояемость и переваримость выше на 25,5 и 18,3% в первой и на 26,6 и 18,5% во второй соответственно (табл. 2).</w:t>
      </w:r>
    </w:p>
    <w:p w:rsidR="00250D0D" w:rsidRDefault="004A19FE">
      <w:pPr>
        <w:pStyle w:val="a3"/>
      </w:pPr>
      <w:r>
        <w:t>Таблица 2</w:t>
      </w:r>
    </w:p>
    <w:p w:rsidR="00250D0D" w:rsidRDefault="004A19FE">
      <w:pPr>
        <w:pStyle w:val="a3"/>
      </w:pPr>
      <w:r>
        <w:t>Переваримость, баланс и конверсия в яйцо фосфора рациона, на гол./сут.</w:t>
      </w:r>
    </w:p>
    <w:p w:rsidR="00250D0D" w:rsidRDefault="004A19FE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</w:tblGrid>
      <w:tr w:rsidR="00250D0D">
        <w:trPr>
          <w:trHeight w:val="25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250D0D" w:rsidRDefault="004A19FE">
            <w:r>
              <w:t>Показатели, ед. изм.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50D0D" w:rsidRDefault="004A19FE">
            <w:r>
              <w:t>Г руппы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50D0D" w:rsidRDefault="00250D0D"/>
        </w:tc>
        <w:tc>
          <w:tcPr>
            <w:tcW w:w="0" w:type="auto"/>
            <w:vAlign w:val="center"/>
            <w:hideMark/>
          </w:tcPr>
          <w:p w:rsidR="00250D0D" w:rsidRDefault="004A19FE">
            <w:r>
              <w:t>контрольная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I (опытная)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II (опытная)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Потреблено, 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0,39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0,42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0,39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Выделено с помётом, 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0,18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0,16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Усвоено, 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0,19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0,24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0,24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Переваримость, %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47,80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56,60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60,20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Выделено с яйцом, 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0,04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0,04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0,05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Конверсия в яйцо,%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9,20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10,30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12,90</w:t>
            </w:r>
          </w:p>
        </w:tc>
      </w:tr>
      <w:tr w:rsidR="00250D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Баланс, 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0,19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0,19</w:t>
            </w:r>
          </w:p>
        </w:tc>
      </w:tr>
    </w:tbl>
    <w:p w:rsidR="00250D0D" w:rsidRPr="004A19FE" w:rsidRDefault="004A19FE">
      <w:pPr>
        <w:pStyle w:val="a3"/>
      </w:pPr>
      <w:r>
        <w:t>Баланс фосфора у кур всех групп был положительным, поскольку с яйцом курица выделяет сравнительно небольшое количество этого элемента, которое всегда покрывается за счет всасывания его из желудочно-кишечного тракта [9], а на степень переваримости и усвоения, по-видимому, оказали влияние изучаемые препараты.</w:t>
      </w:r>
    </w:p>
    <w:p w:rsidR="00250D0D" w:rsidRDefault="004A19FE">
      <w:pPr>
        <w:pStyle w:val="a3"/>
      </w:pPr>
      <w:r>
        <w:t>Конверсия фосфора в яйцо в опытных группах также превысила показатель контрольной группы на 13,6% в первой и на 14,4% - во второй. При изучении баланса йода в организме кур учитывался только йод, введенный с основным рационом, поскольку выпаивание препаратов было завершено до начала проведения обменного опыта.</w:t>
      </w:r>
    </w:p>
    <w:p w:rsidR="00250D0D" w:rsidRDefault="004A19FE">
      <w:pPr>
        <w:pStyle w:val="a3"/>
      </w:pPr>
      <w:r>
        <w:t>Выделение йода с пометом у кур первой опытной группы было выше на 7,2%, второй - на 3,3% соответственно ниже контроля (табл. 3). Усвоение этого микроэлемента в первой опытной группе было на 5,7% выше, переваримость - на уровне контроля, во второй группе на 9,7 и 2,5% соответственно выше.</w:t>
      </w:r>
    </w:p>
    <w:p w:rsidR="00250D0D" w:rsidRDefault="004A19FE">
      <w:pPr>
        <w:pStyle w:val="a3"/>
      </w:pPr>
      <w:r>
        <w:t>Таблица 3</w:t>
      </w:r>
    </w:p>
    <w:p w:rsidR="00250D0D" w:rsidRDefault="004A19FE">
      <w:pPr>
        <w:pStyle w:val="a3"/>
      </w:pPr>
      <w:r>
        <w:t>Переваримость, баланс и конверсия в яйцо йода рациона, на гол./сут.</w:t>
      </w:r>
    </w:p>
    <w:p w:rsidR="00250D0D" w:rsidRDefault="004A19FE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96"/>
        <w:gridCol w:w="96"/>
        <w:gridCol w:w="96"/>
      </w:tblGrid>
      <w:tr w:rsidR="00250D0D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250D0D" w:rsidRDefault="004A19FE">
            <w:r>
              <w:t>Показатели, ед. изм.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50D0D" w:rsidRDefault="004A19FE">
            <w:r>
              <w:t>Г руппы</w:t>
            </w:r>
          </w:p>
        </w:tc>
      </w:tr>
      <w:tr w:rsidR="00250D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50D0D" w:rsidRDefault="00250D0D"/>
        </w:tc>
        <w:tc>
          <w:tcPr>
            <w:tcW w:w="0" w:type="auto"/>
            <w:gridSpan w:val="2"/>
            <w:vAlign w:val="center"/>
            <w:hideMark/>
          </w:tcPr>
          <w:p w:rsidR="00250D0D" w:rsidRDefault="004A19FE">
            <w:r>
              <w:t>контрольная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I (опытная)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0D0D" w:rsidRDefault="004A19FE">
            <w:r>
              <w:t>II (опытная)</w:t>
            </w:r>
          </w:p>
        </w:tc>
      </w:tr>
      <w:tr w:rsidR="00250D0D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Потреблено, мкг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351,7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50D0D" w:rsidRDefault="004A19FE">
            <w:r>
              <w:t>372,9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376,2</w:t>
            </w:r>
          </w:p>
        </w:tc>
      </w:tr>
      <w:tr w:rsidR="00250D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Выделено с пометом, мкг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73,7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50D0D" w:rsidRDefault="004A19FE">
            <w:r>
              <w:t>79,0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71,3</w:t>
            </w:r>
          </w:p>
        </w:tc>
      </w:tr>
      <w:tr w:rsidR="00250D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Усвоено, мкг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278,0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50D0D" w:rsidRDefault="004A19FE">
            <w:r>
              <w:t>293,9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304,9</w:t>
            </w:r>
          </w:p>
        </w:tc>
      </w:tr>
      <w:tr w:rsidR="00250D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Переваримость, %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79,0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50D0D" w:rsidRDefault="004A19FE">
            <w:r>
              <w:t>78,8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81,0</w:t>
            </w:r>
          </w:p>
        </w:tc>
      </w:tr>
      <w:tr w:rsidR="00250D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Выделено с яйцом, мкг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13,7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50D0D" w:rsidRDefault="004A19FE">
            <w:r>
              <w:t>20,2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22,1</w:t>
            </w:r>
          </w:p>
        </w:tc>
      </w:tr>
      <w:tr w:rsidR="00250D0D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Конверсия в яйцо,%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3,9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50D0D" w:rsidRDefault="004A19FE">
            <w:r>
              <w:t>5,4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5,9</w:t>
            </w:r>
          </w:p>
        </w:tc>
      </w:tr>
      <w:tr w:rsidR="00250D0D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Баланс, мкг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264,3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50D0D" w:rsidRDefault="004A19FE">
            <w:r>
              <w:t>273,7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282,8</w:t>
            </w:r>
          </w:p>
        </w:tc>
      </w:tr>
      <w:tr w:rsidR="00250D0D">
        <w:trPr>
          <w:tblCellSpacing w:w="0" w:type="dxa"/>
        </w:trPr>
        <w:tc>
          <w:tcPr>
            <w:tcW w:w="0" w:type="auto"/>
            <w:vAlign w:val="center"/>
            <w:hideMark/>
          </w:tcPr>
          <w:p w:rsidR="00250D0D" w:rsidRDefault="004A19F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50D0D" w:rsidRDefault="004A19FE">
            <w:r>
              <w:t> </w:t>
            </w:r>
          </w:p>
        </w:tc>
      </w:tr>
    </w:tbl>
    <w:p w:rsidR="00250D0D" w:rsidRPr="004A19FE" w:rsidRDefault="004A19FE">
      <w:pPr>
        <w:pStyle w:val="a3"/>
      </w:pPr>
      <w:r>
        <w:t>Средний показатель конверсии йода в яйцо у кур опытных групп превысил аналогичный показатель в контроле: на 39,1% и 50,8% в первой и второй группах, баланс был выше на 3,6% и 7,0% соответственно.</w:t>
      </w:r>
    </w:p>
    <w:p w:rsidR="00250D0D" w:rsidRDefault="004A19FE">
      <w:pPr>
        <w:pStyle w:val="a3"/>
      </w:pPr>
      <w:r>
        <w:t>Выводы</w:t>
      </w:r>
    </w:p>
    <w:p w:rsidR="00250D0D" w:rsidRDefault="004A19FE">
      <w:pPr>
        <w:pStyle w:val="a3"/>
      </w:pPr>
      <w:r>
        <w:t>Таким образом, изученные йодсодержащие препараты способствуют оптимизации метаболических процессов и обеспеченности организма кур минеральными веществами. Использование йодовидона в чистом виде и в сочетании с Р-каротином оказывает пролонгирующее влияние на обмен йода у кур, способствуя накоплению его в яйце и в организме в целом. Препараты оказывают также позитивное влияние на фосфорно-кальциевый обмен.</w:t>
      </w:r>
    </w:p>
    <w:p w:rsidR="00250D0D" w:rsidRDefault="004A19FE">
      <w:pPr>
        <w:pStyle w:val="a3"/>
      </w:pPr>
      <w:r>
        <w:t>Результаты опыта также показывают, что добавка йодовидона в сочетании с Р-каротином действует эффективнее йодовидона в чистом виде.</w:t>
      </w:r>
    </w:p>
    <w:p w:rsidR="00250D0D" w:rsidRDefault="004A19FE">
      <w:pPr>
        <w:pStyle w:val="a3"/>
      </w:pPr>
      <w:r>
        <w:t>Список литературы</w:t>
      </w:r>
    </w:p>
    <w:p w:rsidR="00250D0D" w:rsidRDefault="004A19FE">
      <w:pPr>
        <w:pStyle w:val="a3"/>
      </w:pPr>
      <w:r>
        <w:t>Агаджанян Н.А., Сусликов В. Л. Эколого-биогеохимические факторы и здоровье человека // Экология человека. - 2000. - № 1. - С. 3-5.</w:t>
      </w:r>
    </w:p>
    <w:p w:rsidR="00250D0D" w:rsidRDefault="004A19FE">
      <w:pPr>
        <w:pStyle w:val="a3"/>
      </w:pPr>
      <w:r>
        <w:t>Дедов И.И., Свириденко Н.Ю. Иоддефицитные заболевания в Российской Федерации // Вестник РАМН. - 2001. - №6. - С. 3-12.</w:t>
      </w:r>
    </w:p>
    <w:p w:rsidR="00250D0D" w:rsidRDefault="004A19FE">
      <w:pPr>
        <w:pStyle w:val="a3"/>
      </w:pPr>
      <w:r>
        <w:t>Использование препарата йодовидона для обогащения йодом куриных яиц / А.А. Шапошников, В.Л. Владимиров, Д.В. Дейнека, О.В. Буханова // Вестник бГтУ. - 2004. - № 8. - С. 201-203.</w:t>
      </w:r>
    </w:p>
    <w:p w:rsidR="00250D0D" w:rsidRDefault="004A19FE">
      <w:pPr>
        <w:pStyle w:val="a3"/>
      </w:pPr>
      <w:r>
        <w:t>Маслиева О.И. Проведение опытов и техника расчетов перевариваемости кормов и баланса питательных веществ в организме птицы // Методики по определению качества корма. - М., 1967. - С. 1 9.</w:t>
      </w:r>
    </w:p>
    <w:p w:rsidR="00250D0D" w:rsidRDefault="004A19FE">
      <w:pPr>
        <w:pStyle w:val="a3"/>
      </w:pPr>
      <w:r>
        <w:t>Томмэ М.Ф. Изучение переваримости кормов и рационов // Методики определения переваримости кормов и рационов. - М.: ВАСХНИЛ, 1969. - С. 2-10.</w:t>
      </w:r>
    </w:p>
    <w:p w:rsidR="00250D0D" w:rsidRDefault="004A19FE">
      <w:pPr>
        <w:pStyle w:val="a3"/>
      </w:pPr>
      <w:r>
        <w:t>Нормы и рационы кормления сельскохозяйственных животных. Часть III. Свиньи и птица / Под ред. акад. РАСХН А.П. Калашникова, Н.И. Клейменова и проф. В.В. Щеглова. - М., 1993. - 176 с.</w:t>
      </w:r>
    </w:p>
    <w:p w:rsidR="00250D0D" w:rsidRDefault="004A19FE">
      <w:pPr>
        <w:pStyle w:val="a3"/>
      </w:pPr>
      <w:r>
        <w:t>Кальницкий Б.Д. Минеральные вещества в кормлении животных. - Л., 1985. - 207 с.</w:t>
      </w:r>
    </w:p>
    <w:p w:rsidR="00250D0D" w:rsidRDefault="004A19FE">
      <w:pPr>
        <w:pStyle w:val="a3"/>
      </w:pPr>
      <w:r>
        <w:t>Лапшин С.А., Кальницкий Б.Д., Кокорев В.А. Новое в минеральном питании сельскохозяйственных животных. - М., 1988. - 207 с.</w:t>
      </w:r>
    </w:p>
    <w:p w:rsidR="00250D0D" w:rsidRDefault="004A19FE">
      <w:pPr>
        <w:pStyle w:val="a3"/>
      </w:pPr>
      <w:r>
        <w:t>Бауман В.К. Кальций и фосфор. Обмен и регуляция у птиц. - Рига, 1968. - 270 с.</w:t>
      </w:r>
      <w:bookmarkStart w:id="0" w:name="_GoBack"/>
      <w:bookmarkEnd w:id="0"/>
    </w:p>
    <w:sectPr w:rsidR="00250D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9FE"/>
    <w:rsid w:val="00250D0D"/>
    <w:rsid w:val="0036071A"/>
    <w:rsid w:val="004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829FC-895B-4718-888A-7A29E3C2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1186</Words>
  <Characters>6762</Characters>
  <Application>Microsoft Office Word</Application>
  <DocSecurity>0</DocSecurity>
  <Lines>56</Lines>
  <Paragraphs>15</Paragraphs>
  <ScaleCrop>false</ScaleCrop>
  <Company>diakov.net</Company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новых синтетических йодсодержащих препаратов на переваримость, баланс и конверсию в яйцо минеральных веществ корма в организме кур-несушек</dc:title>
  <dc:subject/>
  <dc:creator>Irina</dc:creator>
  <cp:keywords/>
  <dc:description/>
  <cp:lastModifiedBy>Irina</cp:lastModifiedBy>
  <cp:revision>2</cp:revision>
  <dcterms:created xsi:type="dcterms:W3CDTF">2014-08-02T20:21:00Z</dcterms:created>
  <dcterms:modified xsi:type="dcterms:W3CDTF">2014-08-02T20:21:00Z</dcterms:modified>
</cp:coreProperties>
</file>