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7E1" w:rsidRPr="00A0367A" w:rsidRDefault="0031328A" w:rsidP="00A0367A">
      <w:pPr>
        <w:widowControl w:val="0"/>
        <w:spacing w:after="0" w:line="360" w:lineRule="auto"/>
        <w:ind w:left="709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A0367A">
        <w:rPr>
          <w:rFonts w:ascii="Times New Roman" w:hAnsi="Times New Roman"/>
          <w:b/>
          <w:bCs/>
          <w:sz w:val="28"/>
          <w:szCs w:val="28"/>
          <w:lang w:eastAsia="ru-RU"/>
        </w:rPr>
        <w:t>Привлечение и защита иностранных инвестиций в Исламской республике Иран</w:t>
      </w:r>
    </w:p>
    <w:p w:rsidR="00C947E1" w:rsidRPr="005A7AED" w:rsidRDefault="00A0367A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  <w:lang w:eastAsia="ru-RU"/>
        </w:rPr>
      </w:pPr>
      <w:r w:rsidRPr="005A7AED">
        <w:rPr>
          <w:rFonts w:ascii="Times New Roman" w:hAnsi="Times New Roman"/>
          <w:color w:val="FFFFFF"/>
          <w:sz w:val="28"/>
          <w:szCs w:val="28"/>
          <w:lang w:eastAsia="ru-RU"/>
        </w:rPr>
        <w:t>иран иностранный инвестор капиталовложение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В июле 2002 г. в Иране вступил в силу Закон о привлечении и иностранных инвестиций, который откры</w:t>
      </w:r>
      <w:r w:rsidR="0031328A" w:rsidRPr="00A0367A">
        <w:rPr>
          <w:rFonts w:ascii="Times New Roman" w:hAnsi="Times New Roman"/>
          <w:sz w:val="28"/>
          <w:szCs w:val="28"/>
          <w:lang w:eastAsia="ru-RU"/>
        </w:rPr>
        <w:t>л</w:t>
      </w:r>
      <w:r w:rsidRPr="00A0367A">
        <w:rPr>
          <w:rFonts w:ascii="Times New Roman" w:hAnsi="Times New Roman"/>
          <w:sz w:val="28"/>
          <w:szCs w:val="28"/>
          <w:lang w:eastAsia="ru-RU"/>
        </w:rPr>
        <w:t xml:space="preserve"> качественно новый этап притока иностранных капиталовложений в ИРИ и расшир</w:t>
      </w:r>
      <w:r w:rsidR="0031328A" w:rsidRPr="00A0367A">
        <w:rPr>
          <w:rFonts w:ascii="Times New Roman" w:hAnsi="Times New Roman"/>
          <w:sz w:val="28"/>
          <w:szCs w:val="28"/>
          <w:lang w:eastAsia="ru-RU"/>
        </w:rPr>
        <w:t>ил</w:t>
      </w:r>
      <w:r w:rsidRPr="00A0367A">
        <w:rPr>
          <w:rFonts w:ascii="Times New Roman" w:hAnsi="Times New Roman"/>
          <w:sz w:val="28"/>
          <w:szCs w:val="28"/>
          <w:lang w:eastAsia="ru-RU"/>
        </w:rPr>
        <w:t xml:space="preserve"> сферу возможностей и гарантий действующим на территории Ирана иностранным, в том числе российским, инвесторам.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В этой связи обстоятельное изучение законодательного регулирования вопросов, связанных с иностранными инвестициями в ИРИ, а также анализ деятельности иностранных инвесторов в этой стране может представлять серьезный интерес для российских компаний на иранском инвестиционном рынке, где для них имеется существенный неиспользованный потенциал.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В соответствии с тенденциями мирового экономического развития и глобализацией международной экономической системы иранское руководство предпринимает шаги по дальнейшей интеграции ИРИ в мировые экономические структуры, включая ВТО, по закреплению позиций Ирана на международных финансовых и торговых рынках. Реализация этих задач диктует, в частности, необходимость привлечения в страну значительного объема иностранных капиталовложений, что требует, в свою очередь, совершенствования и реформирования инвестиционной сферы. В последние годы иранским государством проводится активная работа по обновлению законодательной базы в отношении иностранных инвестиций и предоставлению иностранным инвесторам более благоприятных условий и гарантий сохранности их средств, вкладываемых в иранскую экономику.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Законодательное регулирование в этой сфере осуществляется в соответствии с Законом о привлечении и защите иностранных инвестиций от 2002 г. Следует подчеркнуть, что до принятия данного акта, создающего принципиально новые условия для деятельности иностранных инвесторов в Иране, эта сфера регулировалась одноименным Законом от 1955 г., который явно устарел и препятствовал ее нормальному развитию в соответствии с тенденциями мирового экономического процесса.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Проект нового законодательного акта вызвал разногласия и длительные дебаты между либеральным парламентом 6-го созыва (2000–2004 гг.) и консервативным Наблюдательным Советом. Его принятие затянулось на несколько лет. В августе 2000 г. проект этого закона был принят в первом чтении, а в мае 2001 г. ратифицирован иранским парламентом. Однако Наблюдательный совет трижды подряд отклонял данный законопроект. В результате только в июне 2002 г. Закон о привлечении и защите иностранных инвестиций был окончательно утвержден Советом по определению политической целесообразности принимаемых решений, который в спорах между Парламентом и Наблюдательным советом выступает в качестве арбитра функции. В соответствии с установленным в ИРИ законодательным порядком 28 июля 2002 г., через 15 дней после публикации текста закона в так называемой «Официальной газете»</w:t>
      </w:r>
      <w:r w:rsidRPr="00A0367A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Pr="00A0367A">
        <w:rPr>
          <w:rFonts w:ascii="Times New Roman" w:hAnsi="Times New Roman"/>
          <w:sz w:val="28"/>
          <w:szCs w:val="28"/>
          <w:lang w:eastAsia="ru-RU"/>
        </w:rPr>
        <w:t>, он де-юре вступил в силу.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Конечно, нельзя сказать, что новый закон об иностранных инвестициях в Иране соответствует основным западным стандартам и по своим положениям полностью совпадает с аналогичными законодательными актами стран с рыночной экономикой. Тем не менее для Исламской Республики Иран это – прогрессивный и существенный шаг вперед, позволяющий надеяться на привлечение в страну крупных иностранных инвесторов, на динамичный рост иностранных капиталовложений, в которых так нуждается иранская экономика.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Помимо указанного закона, правовая база ИРИ в области иностранных инвестиций включает ряд других законодательных актов, регулирующих отдельные аспекты в этой сфере. Среди них Закон об учреждении Министерства экономики и финансов от 15 июля 1975 г., Закон об Организации по инвестиционному, экономическому и технологическому содействию от 3 июня 1975 г., Закон о владении недвижимым имуществом иностранными подданными от 6 июня 1931 г. Примечательно, что последний закон по-прежнему является действующим.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Иностранным инвестором в ИРИ считается физическое или юридическое лицо, имеющее иностранное, а также иранское гражданство, которое вправе осуществлять иностранные инвестиции на территории Исламской Республики Иран в соответствии с порядком, определяемым Законом о привлечении и защите иностранных инвестиций.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По иранскому законодательству, иностранный капитал, ввозимый в страну как в форме финансового (деньги, ценные бумаги), так и в форме нефинансового (объекты гражданских прав и имущества) капитала, подразделяется на следующие категории: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–</w:t>
      </w:r>
      <w:r w:rsidR="00A036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367A">
        <w:rPr>
          <w:rFonts w:ascii="Times New Roman" w:hAnsi="Times New Roman"/>
          <w:sz w:val="28"/>
          <w:szCs w:val="28"/>
          <w:lang w:eastAsia="ru-RU"/>
        </w:rPr>
        <w:t>денежные инвестиции в твердой валюте, конвертируемые в Иран преимущественно через банковскую систему или по другим каналам, однако при обязательном согласии и подтверждении Центрального Банка ИРИ;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–</w:t>
      </w:r>
      <w:r w:rsidR="00A036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367A">
        <w:rPr>
          <w:rFonts w:ascii="Times New Roman" w:hAnsi="Times New Roman"/>
          <w:sz w:val="28"/>
          <w:szCs w:val="28"/>
          <w:lang w:eastAsia="ru-RU"/>
        </w:rPr>
        <w:t>машины и оборудование;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–</w:t>
      </w:r>
      <w:r w:rsidR="00A036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367A">
        <w:rPr>
          <w:rFonts w:ascii="Times New Roman" w:hAnsi="Times New Roman"/>
          <w:sz w:val="28"/>
          <w:szCs w:val="28"/>
          <w:lang w:eastAsia="ru-RU"/>
        </w:rPr>
        <w:t>запасные части и компоненты, дополнительные детали и сырье;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–</w:t>
      </w:r>
      <w:r w:rsidR="00A036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367A">
        <w:rPr>
          <w:rFonts w:ascii="Times New Roman" w:hAnsi="Times New Roman"/>
          <w:sz w:val="28"/>
          <w:szCs w:val="28"/>
          <w:lang w:eastAsia="ru-RU"/>
        </w:rPr>
        <w:t>патенты, технологии «ноу-хау», торговые марки и специализированные услуги;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–</w:t>
      </w:r>
      <w:r w:rsidR="00A036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367A">
        <w:rPr>
          <w:rFonts w:ascii="Times New Roman" w:hAnsi="Times New Roman"/>
          <w:sz w:val="28"/>
          <w:szCs w:val="28"/>
          <w:lang w:eastAsia="ru-RU"/>
        </w:rPr>
        <w:t>переводимые из-за рубежа дивиденды иностранного инвестора.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Основным регулирующим органом в области иностранных инвестиций в Иран является Министерство экономики и финансов, а непосредственные исполнительные функции возложены на находящуюся в его подчинении Организацию по инвестиционному, экономическому и техническому содействию ИРИ (ОИЭТС), порядок деятельности которой определяется статьей 5 Закона об учреждении Министерства экономики и финансов от 15 июля 1975 г. Возглавляет ОИЭТС один из заместителей министра. Все обращения иностранных инвесторов по вопросам предоставления, ввоза, использования и вывоза капиталов должны быть направлены в данную организацию.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В своей деятельности ОИЭТС тесно взаимодействует с ключевыми министерствами и ведомствами экономического блока. С этой целью в каждом отраслевом министерстве или ведомстве назначается полномочный представитель, осуществляющий координацию между ОИЭТС и соответствующим подразделением. Кандидатуры полномочных представителей рассматриваются и назначаются руководителем каждого из таких министерств и ведомств, включая Министерство экономики и финансов, МИД, Министерство торговли, Министерство труда и социальных дел, Центральный Банк, Таможенную администрацию, Центральное бюро по регистрации компаний и промышленной собственности.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Разработка общих принципов инвестиционной политики в Иране осуществляется Высшим советом по инвестициям в соответствии со статьей 7 Закона об ОИЭТС от 3 июня 1975 г. Членами Высшего Совета являются главы ведущих экономических министерств государства – экономики и финансов, сельского хозяйства, промышленности и рудников, а также МИД.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Вложение иностранным инвестором капитала в новое или существующее экономическое образование возможно после получения разрешения на осуществление инвестиций. Определяющую роль в принятии решений по тому или иному инвестиционному проекту играет Комиссия по привлечению и защите иностранных инвестиций (КПЗИИ), которая возглавляется заместителем министра экономики и финансов, по совместительству занимающим пост руководителя ОИЭТС. В состав КПЗИИ входят также заместители министра промышленности и рудников, иностранных дел, а также вице-президент Центрального Банка, заместитель руководителя Организации по управлению и планированию и президент Палаты по вопросам торговли, промышленности и шахт Ирана. В случае необходимости в состав КПЗИИ могут быть включены представители других заинтересованных министерств на уровне заместителей министров.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Процедура предоставления разрешения на привлечение иностранных инвестиций состоит из нескольких стадий и на первом этапе предусматривает согласование проекта в отраслевом министерстве, на втором – вынесение заключения ОИЭТС, на третьем – одобрение КПЗИИ и на четвертом – вынесение окончательного решения министром экономики и финансов и издание постановления Правительства ИРИ.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Как только иностранный инвестор определил своего потенциального иранского партнера, ему следует согласовать проект и получить разрешение в отраслевом министерстве. Имеется в виду получение т.н. установочной лицензии и заключение «базового соглашения». Затем подготовленный проект соглашения, копия ТЭО и соответствующая заявка, а также все необходимые документы, включая финансовые отчеты деятельности инвестора за три последних года, направляются в ОИЭТС. Эта организация обязана рассматривать заявки иностранных инвесторов и после соответствующей проверки давать свое заключение в форме подробного доклада Комиссии по привлечению и защите иностранных инвестиций в течение 15 дней с момента их получения. КПЗИИ, в свою очередь, после соответствующего рассмотрения вопроса выносит решение по заявке в течение 1 месяца. В случае положительного решения КПЗИИ по согласованию с Министерством экономики и финансов готовит представление в Кабинет министров. На последнем этапе требуется подтверждение данного решения министром экономики и финансов ИРИ, после чего издается постановление Кабинета министров, являющееся официальным разрешением для формирования совместного предприятия и начала практической реализации проекта.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Привлечение иностранных инвестиций в ИРИ осуществляется при соблюдении внутренних законодательных актов и порядка его регулирования с целью развития производства в промышленной, горнодобывающей, сельскохозяйственной областях и сфере услуг. При этом руководство ИРИ исходит из следующих принципов: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1.</w:t>
      </w:r>
      <w:r w:rsidR="00A036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367A">
        <w:rPr>
          <w:rFonts w:ascii="Times New Roman" w:hAnsi="Times New Roman"/>
          <w:sz w:val="28"/>
          <w:szCs w:val="28"/>
          <w:lang w:eastAsia="ru-RU"/>
        </w:rPr>
        <w:t>Инвестирование должно сопровождаться обязательным стимулированием экономического роста и технологического развития, повышением качества производимой продукции, обеспечением выхода этой продукции на мировые рынки, ростом экспорта страны, увеличением занятости населения. Правительство ИРИ считает приоритетными те капиталовложения, которые способствуют увеличению национального дохода и приносят поступления в СКВ в государственный бюджет ИРИ.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2.</w:t>
      </w:r>
      <w:r w:rsidR="00A036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367A">
        <w:rPr>
          <w:rFonts w:ascii="Times New Roman" w:hAnsi="Times New Roman"/>
          <w:sz w:val="28"/>
          <w:szCs w:val="28"/>
          <w:lang w:eastAsia="ru-RU"/>
        </w:rPr>
        <w:t>Иностранное инвестирование не должно способствовать возникновению угрозы национальной безопасности, загрязнения окружающей среды, кризисов в национальной экономике или препятствовать производству, основанному на внутренних инвестициях.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3.</w:t>
      </w:r>
      <w:r w:rsidR="00A036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367A">
        <w:rPr>
          <w:rFonts w:ascii="Times New Roman" w:hAnsi="Times New Roman"/>
          <w:sz w:val="28"/>
          <w:szCs w:val="28"/>
          <w:lang w:eastAsia="ru-RU"/>
        </w:rPr>
        <w:t>Иностранное инвестирование не должно повлечь за собой наделение государством иностранного инвестора правом на учреждение концессии, подразумевающее предоставление иностранным инвесторам чрезвычайных прав на монополию в той или иной области.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4.</w:t>
      </w:r>
      <w:r w:rsidR="00A036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367A">
        <w:rPr>
          <w:rFonts w:ascii="Times New Roman" w:hAnsi="Times New Roman"/>
          <w:sz w:val="28"/>
          <w:szCs w:val="28"/>
          <w:lang w:eastAsia="ru-RU"/>
        </w:rPr>
        <w:t>Процентное соотношение производимой продукции с привлечением иностранного капитала и производимой на основе внутренних инвестиций должно быть таковым, чтобы выпуск продукции, производимой с привлечением иностранного капитала, не превышал 25% в каждом секторе экономики и 35% в каждом подсекторе, соответственно. Очень важным дополнением в этом отношении является то, что во всех отраслях производства экспортной продукции с привлечением иностранных инвестиций, кроме нефтедобывающей, данные процентные соотношения не являются строго обязательными.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Одновременно имеется ряд ограничений на привлечение и применение на территории ИРИ иностранного капитала. В частности, законодательство, регулирующее сферу иностранных инвестиций, распространяется на компании лишь тех стран, в которых иранские компании могут функционировать в режиме, не менее благоприятном, чем национальный. Помимо этого, не разрешается привлечение капитала в сферу услуг, в частности в торговый сектор и банковскую систему. Не дозволяется также создание предприятий со 100-процентным иностранным капиталом. Обязательным условием является отсутствие противоречий между формами, видами и целями деятельности иностранных инвесторов в ИРИ и исламскими принципами и нормами, в том числе в экономической сфере.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В случае принятия решения об инвестировании иностранные компании стремятся заручиться поддержкой ОИЭТС с целью получения гарантий сохранности своих инвестиций в ИРИ. В свою очередь, ОИЭТС выражает готовность к оказанию иностранным инвесторам правовой поддержки и защиты в тех проектах, в которых она (и, соответственно, иранское правительство) заинтересована.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Иранское законодательство предусматривает равные права в отношении защиты как иностранного, так и национального капиталов. При этом предполагается правовая защита в равной степени как капиталов в товарной форме (машины, оборудование), так и в денежной (кредиты, финансовые услуги).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Иностранные инвестиции могут пользоваться правовой защитой: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–</w:t>
      </w:r>
      <w:r w:rsidR="00A036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367A">
        <w:rPr>
          <w:rFonts w:ascii="Times New Roman" w:hAnsi="Times New Roman"/>
          <w:sz w:val="28"/>
          <w:szCs w:val="28"/>
          <w:lang w:eastAsia="ru-RU"/>
        </w:rPr>
        <w:t>в случае прямого инвестирования в те отрасли, где государство стимулирует активное развитие частного сектора;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–</w:t>
      </w:r>
      <w:r w:rsidR="00A036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367A">
        <w:rPr>
          <w:rFonts w:ascii="Times New Roman" w:hAnsi="Times New Roman"/>
          <w:sz w:val="28"/>
          <w:szCs w:val="28"/>
          <w:lang w:eastAsia="ru-RU"/>
        </w:rPr>
        <w:t>в случае инвестирования в невоенные (гражданские) отрасли, в частности в строительство, промышленное производство или при инвестированиях на принципах «бай-бэк».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Следует иметь в виду, что если иностранному инвестору предоставлена правовая защита, то все вопросы, связанные с разрешением споров, возникающих в связи с осуществлением иностранного инвестирования на территории Ирана, рассматриваются в иранских судебных органах.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В случае предоставления иностранному инвестору правовой защиты, его имущество не подлежит принудительному изъятию, в том числе реквизиции, национализации, за исключением случаев, затрагивающих национальные интересы ИРИ.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При вступлении в силу в Иране новых законодательных или иных нормативных актов, которые могут привести к отмене заключенных финансовых договоренностей об инвестировании иностранного капитала в ИРИ, а также к экспроприации имущества, иностранному инвестору гарантируется правовая защита. В этом случае страховые убытки и компенсация возмещаются иранским правительством, которое заранее определяет пределы допустимых гарантийных сумм. Производимые компенсационные выплаты равняются реальной стоимости инвестированных средств и выплачиваются непосредственно перед изъятием данного имущества. Любого рода обращение за компенсационной выплатой должно быть направлено в течение одного года после даты реквизиции или национализации имущества в Комиссию по привлечению и защите иностранных инвестиций.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Иностранный капитал не пользуется правовой защитой иранского государства в следующих случаях: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1.</w:t>
      </w:r>
      <w:r w:rsidR="00A036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367A">
        <w:rPr>
          <w:rFonts w:ascii="Times New Roman" w:hAnsi="Times New Roman"/>
          <w:sz w:val="28"/>
          <w:szCs w:val="28"/>
          <w:lang w:eastAsia="ru-RU"/>
        </w:rPr>
        <w:t>При условии, что он привлекается в те отрасли экономики, в которых запрещена деятельность частных национальных компаний;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2.</w:t>
      </w:r>
      <w:r w:rsidR="00A036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367A">
        <w:rPr>
          <w:rFonts w:ascii="Times New Roman" w:hAnsi="Times New Roman"/>
          <w:sz w:val="28"/>
          <w:szCs w:val="28"/>
          <w:lang w:eastAsia="ru-RU"/>
        </w:rPr>
        <w:t>Если он влечет за собой возникновение монопольного права или особых привилегий;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3.</w:t>
      </w:r>
      <w:r w:rsidR="00A036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367A">
        <w:rPr>
          <w:rFonts w:ascii="Times New Roman" w:hAnsi="Times New Roman"/>
          <w:sz w:val="28"/>
          <w:szCs w:val="28"/>
          <w:lang w:eastAsia="ru-RU"/>
        </w:rPr>
        <w:t>Когда иностранные инвестиции не являются полностью частными и в них участвует иностранное государство.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При осуществлении процедур ввоза, вывоза и движения иностранного капитала курс твердой валюты должен соответствовать официальному курсу национальной валюты. Это может быть плавающий курс, который определяется Центральным Банком ИРИ.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Основной иностранный капитал и полученные с него проценты, а также оставшиеся на территории ИРИ отдельные части основного иностранного капитала могут быть переведены за рубеж при условии оповещения Комиссии по привлечению и защите иностранных инвестиций (КПЗИИ) за 3 месяца до этого и последующего выполнения обязательств и необходимых процедур, в том числе получения одобрительной санкции КПЗИИ и министра экономики и финансов.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Полученные в ходе иностранного инвестирования доходы и прибыль могут быть переведены за рубеж после выполнения соответствующих налоговых и других процедур.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Выплаты по взносам, связанные с патентными соглашениями, технологиями «ноу-хау», техническим и инженерно-консуль-тационным содействием, торговыми марками и т.п., могут быть переведены за рубеж также при условии получения одобрительной санкции КПЗИИ и министра экономики и финансов.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Оставшаяся в стране часть ввезенного в соответствии с разрешением на привлечение инвестиций иностранного капитала, которая не была использована по назначению, в дальнейшем не является предметом импортно-экспортного регулирования.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1.</w:t>
      </w:r>
      <w:r w:rsidR="00A036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367A">
        <w:rPr>
          <w:rFonts w:ascii="Times New Roman" w:hAnsi="Times New Roman"/>
          <w:sz w:val="28"/>
          <w:szCs w:val="28"/>
          <w:lang w:eastAsia="ru-RU"/>
        </w:rPr>
        <w:t>Новая редакция закона об иностранных инвестициях дает более подробное и обширное толкование прав иностранных инвесторов в ИРИ, гарантирует защиту и сохранность новых видов инвестиций, не включенных в закон 1955 года.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2.</w:t>
      </w:r>
      <w:r w:rsidR="00A036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367A">
        <w:rPr>
          <w:rFonts w:ascii="Times New Roman" w:hAnsi="Times New Roman"/>
          <w:sz w:val="28"/>
          <w:szCs w:val="28"/>
          <w:lang w:eastAsia="ru-RU"/>
        </w:rPr>
        <w:t>Другое принципиальное отличие заключается в том, что новый закон обеспечивает равные гарантии всем инвесторам, а в случае национализации или изъятия собственности иностранного инвестора гарантирует соответствующую компенсацию.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3.</w:t>
      </w:r>
      <w:r w:rsidR="00A036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367A">
        <w:rPr>
          <w:rFonts w:ascii="Times New Roman" w:hAnsi="Times New Roman"/>
          <w:sz w:val="28"/>
          <w:szCs w:val="28"/>
          <w:lang w:eastAsia="ru-RU"/>
        </w:rPr>
        <w:t>Условия компенсационных выплат при национализации или изъятии собственности, оговоренные в законах новой и старой редакции, также существенно различаются. Если в законе 1955 г. речь идет о «справедливой» выплате компенсаций, то в законе 2002 г. говорится о компенсационной выплате «на основе реальной рыночной стоимости», что является еще одним шагом в пользу прав иностранных инвесторов.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4.</w:t>
      </w:r>
      <w:r w:rsidR="00A036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367A">
        <w:rPr>
          <w:rFonts w:ascii="Times New Roman" w:hAnsi="Times New Roman"/>
          <w:sz w:val="28"/>
          <w:szCs w:val="28"/>
          <w:lang w:eastAsia="ru-RU"/>
        </w:rPr>
        <w:t>Порядок и условия перевода иностранным инвестором вложенного капитала и полученной с него прибыли из Ирана в свою страну в новом законе также имеют свои характерные особенности: такой перевод осуществляется в твердой валюте. Более того, расширились возможности в плане перевода из ИРИ за рубеж прибыли, полученной с иностранного капитала. В соответствии с законом 1955 г. существовали возможности перевода лишь той части прибыли, которая получена в результате экспорта продукции, однако процедуры законного вывоза из Ирана прибыли, полученной в результате инвестирования средств в производство продукции, реализуемой на внутреннем рынке ИРИ, не были прописаны. Новый закон предоставляет возможность иностранным инвесторам вывозить за рубеж прибыль, полученную не только за счет экспорта продукции, но и другую часть прибыли путем ее перевода в твердую валюту через банковскую систему ИРИ.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5.</w:t>
      </w:r>
      <w:r w:rsidR="00A036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367A">
        <w:rPr>
          <w:rFonts w:ascii="Times New Roman" w:hAnsi="Times New Roman"/>
          <w:sz w:val="28"/>
          <w:szCs w:val="28"/>
          <w:lang w:eastAsia="ru-RU"/>
        </w:rPr>
        <w:t>Порядок разрешения возникающих споров, оговоренный в новом законе, также имеет свои особенности. Если в прежнем законе право рассмотрения спорных вопросов предоставлялось исключительно иранским судам, то по закону 2002 г. этим правом наделяются арбитражные суды, хотя здесь имеется ряд ограничений. Обращение в арбитражный суд возможно только в том случае, если между государством, которое представляет иностранный инвестор, и Ираном подписано соответствующее двустороннее соглашение об иностранных инвестициях. Кроме того, вопрос о праве рассмотрения спора в арбитражном суде решается лишь после получения разрешения парламента. Таким образом, арбитраж по делам, связанным с иностранными инвесторами, полностью зависит от иранских властей.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6.</w:t>
      </w:r>
      <w:r w:rsidR="00A036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367A">
        <w:rPr>
          <w:rFonts w:ascii="Times New Roman" w:hAnsi="Times New Roman"/>
          <w:sz w:val="28"/>
          <w:szCs w:val="28"/>
          <w:lang w:eastAsia="ru-RU"/>
        </w:rPr>
        <w:t>В соответствии с законом 2002 г. гражданство потенциального инвестора не имеет никакого значения. Учитывается лишь принадлежность самого инвестируемого капитала. Это означает, что любой иранский гражданин, в том числе покинувший страну эмигрант, может извлекать из этого закона выгоду и привлекать в ИРИ иностранные инвестиции.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7.</w:t>
      </w:r>
      <w:r w:rsidR="00A036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367A">
        <w:rPr>
          <w:rFonts w:ascii="Times New Roman" w:hAnsi="Times New Roman"/>
          <w:sz w:val="28"/>
          <w:szCs w:val="28"/>
          <w:lang w:eastAsia="ru-RU"/>
        </w:rPr>
        <w:t>Еще одно существенное отличие нового закона заключается в том, что он не ограничивает число потенциальных сфер, в которые могут привлекаться и обеспечиваться защитой иностранные инвестиции. Прежний закон 1955 г. гарантировал защиту иностранным инвестициям только в определенных сферах.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8.</w:t>
      </w:r>
      <w:r w:rsidR="00A036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367A">
        <w:rPr>
          <w:rFonts w:ascii="Times New Roman" w:hAnsi="Times New Roman"/>
          <w:sz w:val="28"/>
          <w:szCs w:val="28"/>
          <w:lang w:eastAsia="ru-RU"/>
        </w:rPr>
        <w:t>Закон 2002 г. вводит положение о привлечении в ИРИ иностранных инвестиций в таких формах, как «бай-бэк» и ВОТ (</w:t>
      </w:r>
      <w:r w:rsidRPr="00A0367A">
        <w:rPr>
          <w:rFonts w:ascii="Times New Roman" w:hAnsi="Times New Roman"/>
          <w:sz w:val="28"/>
          <w:szCs w:val="28"/>
          <w:lang w:val="en-US" w:eastAsia="ru-RU"/>
        </w:rPr>
        <w:t>build</w:t>
      </w:r>
      <w:r w:rsidRPr="00A0367A">
        <w:rPr>
          <w:rFonts w:ascii="Times New Roman" w:hAnsi="Times New Roman"/>
          <w:sz w:val="28"/>
          <w:szCs w:val="28"/>
          <w:lang w:eastAsia="ru-RU"/>
        </w:rPr>
        <w:t>-</w:t>
      </w:r>
      <w:r w:rsidRPr="00A0367A">
        <w:rPr>
          <w:rFonts w:ascii="Times New Roman" w:hAnsi="Times New Roman"/>
          <w:sz w:val="28"/>
          <w:szCs w:val="28"/>
          <w:lang w:val="en-US" w:eastAsia="ru-RU"/>
        </w:rPr>
        <w:t>operate</w:t>
      </w:r>
      <w:r w:rsidRPr="00A0367A">
        <w:rPr>
          <w:rFonts w:ascii="Times New Roman" w:hAnsi="Times New Roman"/>
          <w:sz w:val="28"/>
          <w:szCs w:val="28"/>
          <w:lang w:eastAsia="ru-RU"/>
        </w:rPr>
        <w:t>-</w:t>
      </w:r>
      <w:r w:rsidRPr="00A0367A">
        <w:rPr>
          <w:rFonts w:ascii="Times New Roman" w:hAnsi="Times New Roman"/>
          <w:sz w:val="28"/>
          <w:szCs w:val="28"/>
          <w:lang w:val="en-US" w:eastAsia="ru-RU"/>
        </w:rPr>
        <w:t>transfer</w:t>
      </w:r>
      <w:r w:rsidRPr="00A0367A">
        <w:rPr>
          <w:rFonts w:ascii="Times New Roman" w:hAnsi="Times New Roman"/>
          <w:sz w:val="28"/>
          <w:szCs w:val="28"/>
          <w:lang w:eastAsia="ru-RU"/>
        </w:rPr>
        <w:t xml:space="preserve"> – «строй-управляй-передавай»), чего не было в предыдущем законе.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1.</w:t>
      </w:r>
      <w:r w:rsidR="00A036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367A">
        <w:rPr>
          <w:rFonts w:ascii="Times New Roman" w:hAnsi="Times New Roman"/>
          <w:sz w:val="28"/>
          <w:szCs w:val="28"/>
          <w:lang w:eastAsia="ru-RU"/>
        </w:rPr>
        <w:t>Существующие в сфере иностранного инвестирования ограничения содержатся не столько в самом законе об иностранных инвестициях, сколько в других законодательных актах, включая Конституцию ИРИ. Поэтому в первую очередь следует говорить о несовершенстве законодательства Ирана в целом.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2.</w:t>
      </w:r>
      <w:r w:rsidR="00A036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367A">
        <w:rPr>
          <w:rFonts w:ascii="Times New Roman" w:hAnsi="Times New Roman"/>
          <w:sz w:val="28"/>
          <w:szCs w:val="28"/>
          <w:lang w:eastAsia="ru-RU"/>
        </w:rPr>
        <w:t>Процесс получения разрешения на инвестирование в ИРИ достаточно сложный и длительный. Новый закон регламентирует создание большого количества ответственных органов, создает сложную схему подачи заявок и их рассмотрения различными органами, включая министра экономики и финансов.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3.</w:t>
      </w:r>
      <w:r w:rsidR="00A036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367A">
        <w:rPr>
          <w:rFonts w:ascii="Times New Roman" w:hAnsi="Times New Roman"/>
          <w:sz w:val="28"/>
          <w:szCs w:val="28"/>
          <w:lang w:eastAsia="ru-RU"/>
        </w:rPr>
        <w:t>Еще один непроработанный момент в законе 2002 г. связан с ограничением вовлечения иностранного инвестора в тот или иной сектор экономики Ирана (доля иностранных инвестиций в каждой отрасли не должна превышать 25%, а в каждом подсекторе, входящем в эту отрасль, – не более 35%).Поскольку подсчет процентного соотношения иностранных и внутренних инвестиций должен, согласно новому закону, производиться в день предоставления лицензии с тем, чтобы не была превышена норма иностранных инвестиций в каждой отрасли, это вызывает неминуемые сложности. Как известно, в ИРИ отсутствует точная регулярная информация о произведенном в стране ВВП, о соотношении долей частного и государственного секторов и т.д., что не позволяет решить, какую же долю частного сектора должны составлять иностранные инвестиции.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4.</w:t>
      </w:r>
      <w:r w:rsidR="00A036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367A">
        <w:rPr>
          <w:rFonts w:ascii="Times New Roman" w:hAnsi="Times New Roman"/>
          <w:sz w:val="28"/>
          <w:szCs w:val="28"/>
          <w:lang w:eastAsia="ru-RU"/>
        </w:rPr>
        <w:t>Процедура рассмотрения заявок иностранных инвесторов занимает 45 дней, в то время как во многих странах она ограничивается сроком не более 7 дней, и если за этот период иностранного инвестора не проинформировали о решении в отношении его заявки, она считается принятой.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5.</w:t>
      </w:r>
      <w:r w:rsidR="00A036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367A">
        <w:rPr>
          <w:rFonts w:ascii="Times New Roman" w:hAnsi="Times New Roman"/>
          <w:sz w:val="28"/>
          <w:szCs w:val="28"/>
          <w:lang w:eastAsia="ru-RU"/>
        </w:rPr>
        <w:t>Нефтегазовый сектор по-прежнему остается закрытым для иностранной инвестиционной деятельности.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Очевидно, что с принятием нового закона инвестиционная сфера получила значительный импульс для дальнейшего развития. Содержащиеся в нем прогрессивные положения, благоприятствующие иностранным инвесторам, способствовали увеличению притока инвестиций в Иран (за 1383 иранский год – с 21 марта 2004 по 20 марта 2005 гг. – в страну привлечено около 6 млрд. долл.)</w:t>
      </w:r>
      <w:r w:rsidRPr="00A0367A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Pr="00A0367A">
        <w:rPr>
          <w:rFonts w:ascii="Times New Roman" w:hAnsi="Times New Roman"/>
          <w:sz w:val="28"/>
          <w:szCs w:val="28"/>
          <w:lang w:eastAsia="ru-RU"/>
        </w:rPr>
        <w:t>, став необходимой подпиткой для динамичного и поступательного развития его экономики.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В то же время имеющиеся в области иностранного инвестирования ограничения, связанные с исламским характером иранской экономической системы, продолжают оказывать сдерживающее влияние на активность иностранных инвесторов. Продолжающееся противоборство между консервативным и либерально-реформаторским лагерями иранского правящего духовенства проявляется, в том числе, и в инвестиционной сфере. Победа консервативных сил на выборах в иранский парламент (меджлис) в феврале 2004 г. была отмечена усилением контрпродуктивных тенденций в инвестиционной области. Парламент фактически блокировал реализацию двух крупнейших в истории современного Ирана (после 1979 г.) инвестиционных сделок с турецкими компаниями «Турксел» и «Тав» – стоимостью соответственно 3 млрд. и 1 млрд. долл. США.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Предыстория вопроса такова. Реформаторское правительство С.М.Хатами, рассматривая иностранные инвестиции в качестве одного из наиболее эффективных стимуляторов экономического развития страны, сделало ставку на турецких инвесторов (эта страна по объему инвестиций в ИРИ в 2004 г. входила в первую тройку): с консорциумом «TAB» был заключен контракт на сооружение и обслуживание двух терминалов современного аэропорта имени имама Хомейни в Тегеране (общая сумма сделки, по разным оценкам, варьируется от нескольких сот тысяч до 1 млрд. долл.), а в 2004 г. компания «Турксел» выиграла тендер на право создания в ИРИ первой частной компании мобильной связи. Консервативный парламент осенью прошлого года изменил механизм принятия решений по заключению контрактов с иностранными компаниями, взяв на себя роль определяющей инстанции в этом вопросе. Пересмотру на предмет изменения условий контрактных обязательств в первоочередном порядке были подвергнуты договоренности с турецкими компаниями. Контракт с «Туркселом» в октябре 2004 г. был передан в парламент на доработку, а в феврале 2005 года профильная комиссия меджлиса сократила долевое участие в проекте турецкой компании с 70 до 49%</w:t>
      </w:r>
      <w:r w:rsidRPr="00A0367A">
        <w:rPr>
          <w:rFonts w:ascii="Times New Roman" w:hAnsi="Times New Roman"/>
          <w:sz w:val="28"/>
          <w:szCs w:val="28"/>
          <w:vertAlign w:val="superscript"/>
          <w:lang w:eastAsia="ru-RU"/>
        </w:rPr>
        <w:t>3</w:t>
      </w:r>
      <w:r w:rsidRPr="00A0367A">
        <w:rPr>
          <w:rFonts w:ascii="Times New Roman" w:hAnsi="Times New Roman"/>
          <w:sz w:val="28"/>
          <w:szCs w:val="28"/>
          <w:lang w:eastAsia="ru-RU"/>
        </w:rPr>
        <w:t xml:space="preserve"> и пропорциональном увеличении иранской доли. Проект контракта с принципиальной поправкой был утвержден парламентом, однако в марте 2005 г. его отклонил Наблюдательный совет и направил на доработку. Открытие первого терминала нового столичного аэропорта с мая 2004 г. (после официальной церемонии открытия с участием иранского руководства) было заморожено «из-за нерешенности вопросов безопасности»</w:t>
      </w:r>
      <w:r w:rsidRPr="00A0367A">
        <w:rPr>
          <w:rFonts w:ascii="Times New Roman" w:hAnsi="Times New Roman"/>
          <w:sz w:val="28"/>
          <w:szCs w:val="28"/>
          <w:vertAlign w:val="superscript"/>
          <w:lang w:eastAsia="ru-RU"/>
        </w:rPr>
        <w:t>4</w:t>
      </w:r>
      <w:r w:rsidRPr="00A0367A">
        <w:rPr>
          <w:rFonts w:ascii="Times New Roman" w:hAnsi="Times New Roman"/>
          <w:sz w:val="28"/>
          <w:szCs w:val="28"/>
          <w:lang w:eastAsia="ru-RU"/>
        </w:rPr>
        <w:t>. Истинная подоплека вопроса в том, что турецко-австрийский консорциум «TAB» частично связан с израильским капиталом. Оба проекта зависли на неопределенный срок.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Последствия «дискриминационной» политики в отношении турецких инвесторов могут быть самыми неутешительными. По оценкам правительства ИРИ, одна только задержка с «Туркселом» грозит обернуться убытком для иранского бюджета в размере более 560 млн. долл. С другой стороны, неуклонный рост числа абонентов мобильной связи (в 2000 г. – 490 тыс., в 2004 г. – 4 млн. 270 тысяч, в 2010 г. прогнозируется до 40 млн.) потребует значительных вложений и привлечения еще как минимум двух-трех частных операторов сотовой связи. Ущерб, причиненный Ирану в связи с приостановкой ввода в эксплуатацию нового аэропорта (планируемый пассажирооборот первого терминала – 6,5 млн. чел/год) уже исчисляется десятками миллионов долл. В случае окончательного срыва сделки с «TAB» турки намерены потребовать компенсационную выплату в 15 млн. долл. При этом, по неофициальным данным, Министерство дорог и транспорта ИРИ издало директиву, предписывающую двум иранским частным компаниям компенсировать туркам 17,4 млн. долл. и взять в свои руки управление аэропортом (были намечены даже сроки его открытия – май 2005 г., но при условии прохождения этого решения через Меджлис)</w:t>
      </w:r>
      <w:r w:rsidRPr="00A0367A">
        <w:rPr>
          <w:rFonts w:ascii="Times New Roman" w:hAnsi="Times New Roman"/>
          <w:sz w:val="28"/>
          <w:szCs w:val="28"/>
          <w:vertAlign w:val="superscript"/>
          <w:lang w:eastAsia="ru-RU"/>
        </w:rPr>
        <w:t>5</w:t>
      </w:r>
      <w:r w:rsidRPr="00A0367A">
        <w:rPr>
          <w:rFonts w:ascii="Times New Roman" w:hAnsi="Times New Roman"/>
          <w:sz w:val="28"/>
          <w:szCs w:val="28"/>
          <w:lang w:eastAsia="ru-RU"/>
        </w:rPr>
        <w:t>.</w:t>
      </w:r>
    </w:p>
    <w:p w:rsidR="00C947E1" w:rsidRPr="00A0367A" w:rsidRDefault="00C947E1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История с турецкими инвесторами независимо от ее окончательного исхода может нанести непоправимый ущерб инвестиционному климату в Иране, отпугнуть не только Турцию, но и других крупных инвесторов. Так, в феврале с.г. решение об уходе с иранского нефтяного рынка принял американский нефтяной гигант «Халибёртон», который ранее через свою дочернюю компанию «Ориентал» (зарегистрирована на о.Киш, Иран) выиграл тендер на освоение 9-й и 10-й фаз крупнейшего в ИРИ нефтяного месторождения «Южный Парс»</w:t>
      </w:r>
      <w:r w:rsidRPr="00A0367A">
        <w:rPr>
          <w:rFonts w:ascii="Times New Roman" w:hAnsi="Times New Roman"/>
          <w:sz w:val="28"/>
          <w:szCs w:val="28"/>
          <w:vertAlign w:val="superscript"/>
          <w:lang w:eastAsia="ru-RU"/>
        </w:rPr>
        <w:t>6</w:t>
      </w:r>
      <w:r w:rsidRPr="00A0367A">
        <w:rPr>
          <w:rFonts w:ascii="Times New Roman" w:hAnsi="Times New Roman"/>
          <w:sz w:val="28"/>
          <w:szCs w:val="28"/>
          <w:lang w:eastAsia="ru-RU"/>
        </w:rPr>
        <w:t>. До сих пор тормозится проект лицензионного производства в Иране французской компанией «Рено» автомобилей модели L90</w:t>
      </w:r>
      <w:r w:rsidRPr="00A0367A">
        <w:rPr>
          <w:rFonts w:ascii="Times New Roman" w:hAnsi="Times New Roman"/>
          <w:sz w:val="28"/>
          <w:szCs w:val="28"/>
          <w:vertAlign w:val="superscript"/>
          <w:lang w:eastAsia="ru-RU"/>
        </w:rPr>
        <w:t>7</w:t>
      </w:r>
      <w:r w:rsidRPr="00A0367A">
        <w:rPr>
          <w:rFonts w:ascii="Times New Roman" w:hAnsi="Times New Roman"/>
          <w:sz w:val="28"/>
          <w:szCs w:val="28"/>
          <w:lang w:eastAsia="ru-RU"/>
        </w:rPr>
        <w:t>. Складывающаяся негативная тенденция может парализовать практическое исполнение нового инвестиционного закона и сдерживать осуществление стоящих на повестке дня важнейших задач диверсификации и структурной перестройки иранской экономики, отхода от монопольной нефтегазовой ориентации, внедрения современных технологий, реализация которых требует притока новых инвестиций из-за рубежа.</w:t>
      </w:r>
    </w:p>
    <w:p w:rsidR="0031328A" w:rsidRPr="00A0367A" w:rsidRDefault="0031328A" w:rsidP="00A0367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C947E1" w:rsidRPr="00A0367A" w:rsidRDefault="0031328A" w:rsidP="00A0367A">
      <w:pPr>
        <w:widowControl w:val="0"/>
        <w:tabs>
          <w:tab w:val="left" w:pos="426"/>
        </w:tabs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0367A">
        <w:rPr>
          <w:rFonts w:ascii="Times New Roman" w:hAnsi="Times New Roman"/>
          <w:b/>
          <w:bCs/>
          <w:sz w:val="28"/>
          <w:szCs w:val="28"/>
          <w:lang w:eastAsia="ru-RU"/>
        </w:rPr>
        <w:t>Список литературы</w:t>
      </w:r>
    </w:p>
    <w:p w:rsidR="0031328A" w:rsidRPr="00A0367A" w:rsidRDefault="0031328A" w:rsidP="00A0367A">
      <w:pPr>
        <w:widowControl w:val="0"/>
        <w:tabs>
          <w:tab w:val="left" w:pos="426"/>
        </w:tabs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947E1" w:rsidRPr="00A0367A" w:rsidRDefault="00C947E1" w:rsidP="00A0367A">
      <w:pPr>
        <w:pStyle w:val="afb"/>
        <w:widowControl w:val="0"/>
        <w:numPr>
          <w:ilvl w:val="0"/>
          <w:numId w:val="17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Меджлис одобрил контракт по Туркселу // Шарг, 14.02.2005.</w:t>
      </w:r>
    </w:p>
    <w:p w:rsidR="00C947E1" w:rsidRPr="00A0367A" w:rsidRDefault="00C947E1" w:rsidP="00A0367A">
      <w:pPr>
        <w:pStyle w:val="afb"/>
        <w:widowControl w:val="0"/>
        <w:numPr>
          <w:ilvl w:val="0"/>
          <w:numId w:val="17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en-US" w:eastAsia="ru-RU"/>
        </w:rPr>
      </w:pPr>
      <w:r w:rsidRPr="00A0367A">
        <w:rPr>
          <w:rFonts w:ascii="Times New Roman" w:hAnsi="Times New Roman"/>
          <w:sz w:val="28"/>
          <w:szCs w:val="28"/>
          <w:lang w:val="en-US" w:eastAsia="ru-RU"/>
        </w:rPr>
        <w:t xml:space="preserve">17,4 m compensation for TAV // </w:t>
      </w:r>
      <w:r w:rsidRPr="00A0367A">
        <w:rPr>
          <w:rFonts w:ascii="Times New Roman" w:hAnsi="Times New Roman"/>
          <w:sz w:val="28"/>
          <w:szCs w:val="28"/>
          <w:lang w:eastAsia="ru-RU"/>
        </w:rPr>
        <w:t>ИранДейли</w:t>
      </w:r>
      <w:r w:rsidRPr="00A0367A">
        <w:rPr>
          <w:rFonts w:ascii="Times New Roman" w:hAnsi="Times New Roman"/>
          <w:sz w:val="28"/>
          <w:szCs w:val="28"/>
          <w:lang w:val="en-US" w:eastAsia="ru-RU"/>
        </w:rPr>
        <w:t>, 07.03.2005.</w:t>
      </w:r>
    </w:p>
    <w:p w:rsidR="00C947E1" w:rsidRPr="00A0367A" w:rsidRDefault="00C947E1" w:rsidP="00A0367A">
      <w:pPr>
        <w:pStyle w:val="afb"/>
        <w:widowControl w:val="0"/>
        <w:numPr>
          <w:ilvl w:val="0"/>
          <w:numId w:val="17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Халибёртон прощается с Ираном // Шарг, 01.02.2005.</w:t>
      </w:r>
    </w:p>
    <w:p w:rsidR="00C947E1" w:rsidRPr="00A0367A" w:rsidRDefault="00C947E1" w:rsidP="00A0367A">
      <w:pPr>
        <w:pStyle w:val="afb"/>
        <w:widowControl w:val="0"/>
        <w:numPr>
          <w:ilvl w:val="0"/>
          <w:numId w:val="17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A0367A">
        <w:rPr>
          <w:rFonts w:ascii="Times New Roman" w:hAnsi="Times New Roman"/>
          <w:sz w:val="28"/>
          <w:szCs w:val="28"/>
          <w:lang w:eastAsia="ru-RU"/>
        </w:rPr>
        <w:t>Реализация проекта производства автомобилей L90 затягивается // Иран, 30.01.2005.</w:t>
      </w:r>
    </w:p>
    <w:p w:rsidR="00A0367A" w:rsidRPr="005A7AED" w:rsidRDefault="00A0367A" w:rsidP="00A0367A">
      <w:pPr>
        <w:ind w:left="1069"/>
        <w:jc w:val="center"/>
        <w:rPr>
          <w:rFonts w:ascii="Times New Roman" w:hAnsi="Times New Roman"/>
          <w:color w:val="FFFFFF"/>
          <w:sz w:val="28"/>
          <w:szCs w:val="28"/>
        </w:rPr>
      </w:pPr>
    </w:p>
    <w:p w:rsidR="00CD3B83" w:rsidRPr="00A0367A" w:rsidRDefault="00CD3B83" w:rsidP="00A0367A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sectPr w:rsidR="00CD3B83" w:rsidRPr="00A0367A" w:rsidSect="00A0367A">
      <w:headerReference w:type="default" r:id="rId7"/>
      <w:footerReference w:type="default" r:id="rId8"/>
      <w:pgSz w:w="11906" w:h="16838" w:code="9"/>
      <w:pgMar w:top="1134" w:right="851" w:bottom="1134" w:left="1701" w:header="426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101" w:rsidRDefault="00A95101" w:rsidP="0031328A">
      <w:pPr>
        <w:spacing w:after="0" w:line="240" w:lineRule="auto"/>
      </w:pPr>
      <w:r>
        <w:separator/>
      </w:r>
    </w:p>
  </w:endnote>
  <w:endnote w:type="continuationSeparator" w:id="0">
    <w:p w:rsidR="00A95101" w:rsidRDefault="00A95101" w:rsidP="00313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28A" w:rsidRPr="00A0367A" w:rsidRDefault="005A7AED" w:rsidP="00A0367A">
    <w:pPr>
      <w:pStyle w:val="aa"/>
      <w:jc w:val="center"/>
    </w:pPr>
    <w:r>
      <w:rPr>
        <w:noProof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101" w:rsidRDefault="00A95101" w:rsidP="0031328A">
      <w:pPr>
        <w:spacing w:after="0" w:line="240" w:lineRule="auto"/>
      </w:pPr>
      <w:r>
        <w:separator/>
      </w:r>
    </w:p>
  </w:footnote>
  <w:footnote w:type="continuationSeparator" w:id="0">
    <w:p w:rsidR="00A95101" w:rsidRDefault="00A95101" w:rsidP="00313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67A" w:rsidRPr="00A0367A" w:rsidRDefault="00A0367A" w:rsidP="00A0367A">
    <w:pPr>
      <w:spacing w:after="0"/>
      <w:jc w:val="center"/>
      <w:rPr>
        <w:rFonts w:ascii="Times New Roman" w:hAnsi="Times New Roman"/>
        <w:sz w:val="28"/>
        <w:szCs w:val="28"/>
        <w:lang w:val="en-US"/>
      </w:rPr>
    </w:pPr>
    <w:r w:rsidRPr="00A0367A">
      <w:rPr>
        <w:rFonts w:ascii="Times New Roman" w:hAnsi="Times New Roman"/>
        <w:sz w:val="28"/>
        <w:szCs w:val="28"/>
      </w:rPr>
      <w:t xml:space="preserve">Размещено на </w:t>
    </w:r>
    <w:r w:rsidRPr="005A7AED">
      <w:rPr>
        <w:rFonts w:ascii="Times New Roman" w:hAnsi="Times New Roman"/>
        <w:sz w:val="28"/>
        <w:szCs w:val="28"/>
      </w:rPr>
      <w:t>http://www.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D2D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FFE496D"/>
    <w:multiLevelType w:val="multilevel"/>
    <w:tmpl w:val="09B6C88A"/>
    <w:lvl w:ilvl="0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114B298A"/>
    <w:multiLevelType w:val="multilevel"/>
    <w:tmpl w:val="433CD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797218"/>
    <w:multiLevelType w:val="hybridMultilevel"/>
    <w:tmpl w:val="E9FE400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714EF6"/>
    <w:multiLevelType w:val="hybridMultilevel"/>
    <w:tmpl w:val="F0BC0D3A"/>
    <w:lvl w:ilvl="0" w:tplc="FFFFFFFF">
      <w:start w:val="1"/>
      <w:numFmt w:val="bullet"/>
      <w:lvlText w:val=""/>
      <w:lvlJc w:val="left"/>
      <w:pPr>
        <w:tabs>
          <w:tab w:val="num" w:pos="2520"/>
        </w:tabs>
        <w:ind w:left="2520" w:hanging="599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3B903A96"/>
    <w:multiLevelType w:val="hybridMultilevel"/>
    <w:tmpl w:val="433CD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2A6E78"/>
    <w:multiLevelType w:val="multilevel"/>
    <w:tmpl w:val="85E07948"/>
    <w:lvl w:ilvl="0">
      <w:start w:val="1"/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5DE138E3"/>
    <w:multiLevelType w:val="multilevel"/>
    <w:tmpl w:val="85E07948"/>
    <w:lvl w:ilvl="0">
      <w:start w:val="1"/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647D5323"/>
    <w:multiLevelType w:val="hybridMultilevel"/>
    <w:tmpl w:val="9964414E"/>
    <w:lvl w:ilvl="0" w:tplc="FFFFFFFF"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B71224"/>
    <w:multiLevelType w:val="singleLevel"/>
    <w:tmpl w:val="3D9E210E"/>
    <w:lvl w:ilvl="0">
      <w:start w:val="1"/>
      <w:numFmt w:val="bullet"/>
      <w:lvlText w:val="-"/>
      <w:lvlJc w:val="left"/>
      <w:pPr>
        <w:tabs>
          <w:tab w:val="num" w:pos="1301"/>
        </w:tabs>
        <w:ind w:left="1301" w:hanging="375"/>
      </w:pPr>
      <w:rPr>
        <w:rFonts w:hint="default"/>
      </w:rPr>
    </w:lvl>
  </w:abstractNum>
  <w:abstractNum w:abstractNumId="10">
    <w:nsid w:val="6744734B"/>
    <w:multiLevelType w:val="hybridMultilevel"/>
    <w:tmpl w:val="09B6C88A"/>
    <w:lvl w:ilvl="0" w:tplc="BCC671F4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67ED30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6EF75B9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796277C8"/>
    <w:multiLevelType w:val="hybridMultilevel"/>
    <w:tmpl w:val="EE36213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7BD55EF4"/>
    <w:multiLevelType w:val="hybridMultilevel"/>
    <w:tmpl w:val="85E07948"/>
    <w:lvl w:ilvl="0" w:tplc="887437F2">
      <w:start w:val="1"/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7E321294"/>
    <w:multiLevelType w:val="hybridMultilevel"/>
    <w:tmpl w:val="3A86B072"/>
    <w:lvl w:ilvl="0" w:tplc="A1920D2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9"/>
  </w:num>
  <w:num w:numId="2">
    <w:abstractNumId w:val="9"/>
  </w:num>
  <w:num w:numId="3">
    <w:abstractNumId w:val="4"/>
  </w:num>
  <w:num w:numId="4">
    <w:abstractNumId w:val="0"/>
  </w:num>
  <w:num w:numId="5">
    <w:abstractNumId w:val="8"/>
  </w:num>
  <w:num w:numId="6">
    <w:abstractNumId w:val="12"/>
  </w:num>
  <w:num w:numId="7">
    <w:abstractNumId w:val="3"/>
  </w:num>
  <w:num w:numId="8">
    <w:abstractNumId w:val="5"/>
  </w:num>
  <w:num w:numId="9">
    <w:abstractNumId w:val="2"/>
  </w:num>
  <w:num w:numId="10">
    <w:abstractNumId w:val="14"/>
  </w:num>
  <w:num w:numId="11">
    <w:abstractNumId w:val="10"/>
  </w:num>
  <w:num w:numId="12">
    <w:abstractNumId w:val="15"/>
  </w:num>
  <w:num w:numId="13">
    <w:abstractNumId w:val="11"/>
  </w:num>
  <w:num w:numId="14">
    <w:abstractNumId w:val="6"/>
  </w:num>
  <w:num w:numId="15">
    <w:abstractNumId w:val="7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7294"/>
    <w:rsid w:val="0029685B"/>
    <w:rsid w:val="0031328A"/>
    <w:rsid w:val="005910A4"/>
    <w:rsid w:val="005A7AED"/>
    <w:rsid w:val="00613C6C"/>
    <w:rsid w:val="00745B7D"/>
    <w:rsid w:val="00A0367A"/>
    <w:rsid w:val="00A95101"/>
    <w:rsid w:val="00AF7294"/>
    <w:rsid w:val="00C947E1"/>
    <w:rsid w:val="00CD3B83"/>
    <w:rsid w:val="00DC7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CE203A0-21B0-489B-BFC2-02F273B8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B7D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947E1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0"/>
      <w:u w:val="single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C947E1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947E1"/>
    <w:rPr>
      <w:rFonts w:ascii="Times New Roman" w:hAnsi="Times New Roman" w:cs="Times New Roman"/>
      <w:sz w:val="20"/>
      <w:szCs w:val="20"/>
      <w:u w:val="single"/>
      <w:lang w:val="x-none" w:eastAsia="ru-RU"/>
    </w:rPr>
  </w:style>
  <w:style w:type="character" w:customStyle="1" w:styleId="20">
    <w:name w:val="Заголовок 2 Знак"/>
    <w:link w:val="2"/>
    <w:uiPriority w:val="9"/>
    <w:locked/>
    <w:rsid w:val="00C947E1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paragraph" w:styleId="a3">
    <w:name w:val="Body Text Indent"/>
    <w:basedOn w:val="a"/>
    <w:link w:val="a4"/>
    <w:uiPriority w:val="99"/>
    <w:rsid w:val="00C947E1"/>
    <w:pPr>
      <w:spacing w:after="0" w:line="360" w:lineRule="auto"/>
      <w:ind w:firstLine="720"/>
      <w:jc w:val="both"/>
    </w:pPr>
    <w:rPr>
      <w:rFonts w:ascii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C947E1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Title"/>
    <w:basedOn w:val="a"/>
    <w:link w:val="a6"/>
    <w:uiPriority w:val="10"/>
    <w:qFormat/>
    <w:rsid w:val="00C947E1"/>
    <w:pPr>
      <w:spacing w:after="0" w:line="360" w:lineRule="auto"/>
      <w:ind w:left="360"/>
      <w:jc w:val="center"/>
    </w:pPr>
    <w:rPr>
      <w:rFonts w:ascii="Times New Roman" w:hAnsi="Times New Roman"/>
      <w:b/>
      <w:bCs/>
      <w:sz w:val="28"/>
      <w:szCs w:val="20"/>
      <w:lang w:eastAsia="ru-RU"/>
    </w:rPr>
  </w:style>
  <w:style w:type="character" w:customStyle="1" w:styleId="a6">
    <w:name w:val="Название Знак"/>
    <w:link w:val="a5"/>
    <w:uiPriority w:val="10"/>
    <w:locked/>
    <w:rsid w:val="00C947E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21">
    <w:name w:val="Body Text Indent 2"/>
    <w:basedOn w:val="a"/>
    <w:link w:val="22"/>
    <w:uiPriority w:val="99"/>
    <w:rsid w:val="00C947E1"/>
    <w:pPr>
      <w:spacing w:after="0" w:line="360" w:lineRule="auto"/>
      <w:ind w:left="926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C947E1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header"/>
    <w:basedOn w:val="a"/>
    <w:link w:val="a8"/>
    <w:uiPriority w:val="99"/>
    <w:rsid w:val="00C947E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C947E1"/>
    <w:rPr>
      <w:rFonts w:ascii="Times New Roman" w:hAnsi="Times New Roman" w:cs="Times New Roman"/>
      <w:sz w:val="20"/>
      <w:szCs w:val="20"/>
      <w:lang w:val="x-none" w:eastAsia="ru-RU"/>
    </w:rPr>
  </w:style>
  <w:style w:type="character" w:styleId="a9">
    <w:name w:val="page number"/>
    <w:uiPriority w:val="99"/>
    <w:rsid w:val="00C947E1"/>
    <w:rPr>
      <w:rFonts w:cs="Times New Roman"/>
    </w:rPr>
  </w:style>
  <w:style w:type="paragraph" w:styleId="aa">
    <w:name w:val="footer"/>
    <w:basedOn w:val="a"/>
    <w:link w:val="ab"/>
    <w:uiPriority w:val="99"/>
    <w:rsid w:val="00C947E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C947E1"/>
    <w:rPr>
      <w:rFonts w:ascii="Times New Roman" w:hAnsi="Times New Roman" w:cs="Times New Roman"/>
      <w:sz w:val="20"/>
      <w:szCs w:val="20"/>
      <w:lang w:val="x-none" w:eastAsia="ru-RU"/>
    </w:rPr>
  </w:style>
  <w:style w:type="paragraph" w:styleId="ac">
    <w:name w:val="endnote text"/>
    <w:basedOn w:val="a"/>
    <w:link w:val="ad"/>
    <w:uiPriority w:val="99"/>
    <w:semiHidden/>
    <w:rsid w:val="00C947E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концевой сноски Знак"/>
    <w:link w:val="ac"/>
    <w:uiPriority w:val="99"/>
    <w:semiHidden/>
    <w:locked/>
    <w:rsid w:val="00C947E1"/>
    <w:rPr>
      <w:rFonts w:ascii="Times New Roman" w:hAnsi="Times New Roman" w:cs="Times New Roman"/>
      <w:sz w:val="20"/>
      <w:szCs w:val="20"/>
      <w:lang w:val="x-none" w:eastAsia="ru-RU"/>
    </w:rPr>
  </w:style>
  <w:style w:type="character" w:styleId="ae">
    <w:name w:val="endnote reference"/>
    <w:uiPriority w:val="99"/>
    <w:semiHidden/>
    <w:rsid w:val="00C947E1"/>
    <w:rPr>
      <w:rFonts w:cs="Times New Roman"/>
      <w:vertAlign w:val="superscript"/>
    </w:rPr>
  </w:style>
  <w:style w:type="character" w:styleId="af">
    <w:name w:val="Strong"/>
    <w:uiPriority w:val="22"/>
    <w:qFormat/>
    <w:rsid w:val="00C947E1"/>
    <w:rPr>
      <w:rFonts w:cs="Times New Roman"/>
      <w:b/>
      <w:bCs/>
    </w:rPr>
  </w:style>
  <w:style w:type="paragraph" w:styleId="af0">
    <w:name w:val="Body Text"/>
    <w:basedOn w:val="a"/>
    <w:link w:val="af1"/>
    <w:uiPriority w:val="99"/>
    <w:rsid w:val="00C947E1"/>
    <w:pPr>
      <w:spacing w:after="12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f1">
    <w:name w:val="Основной текст Знак"/>
    <w:link w:val="af0"/>
    <w:uiPriority w:val="99"/>
    <w:locked/>
    <w:rsid w:val="00C947E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af2">
    <w:name w:val="Список определений"/>
    <w:basedOn w:val="a"/>
    <w:next w:val="a"/>
    <w:rsid w:val="00C947E1"/>
    <w:pPr>
      <w:spacing w:after="0" w:line="240" w:lineRule="auto"/>
      <w:ind w:left="360"/>
    </w:pPr>
    <w:rPr>
      <w:rFonts w:ascii="Times New Roman" w:hAnsi="Times New Roman"/>
      <w:sz w:val="24"/>
      <w:szCs w:val="20"/>
      <w:lang w:eastAsia="ru-RU"/>
    </w:rPr>
  </w:style>
  <w:style w:type="character" w:styleId="af3">
    <w:name w:val="Hyperlink"/>
    <w:uiPriority w:val="99"/>
    <w:rsid w:val="00C947E1"/>
    <w:rPr>
      <w:rFonts w:cs="Times New Roman"/>
      <w:color w:val="0000FF"/>
      <w:u w:val="single"/>
    </w:rPr>
  </w:style>
  <w:style w:type="character" w:styleId="af4">
    <w:name w:val="Emphasis"/>
    <w:uiPriority w:val="20"/>
    <w:qFormat/>
    <w:rsid w:val="00C947E1"/>
    <w:rPr>
      <w:rFonts w:cs="Times New Roman"/>
      <w:i/>
    </w:rPr>
  </w:style>
  <w:style w:type="paragraph" w:styleId="3">
    <w:name w:val="Body Text Indent 3"/>
    <w:basedOn w:val="a"/>
    <w:link w:val="30"/>
    <w:uiPriority w:val="99"/>
    <w:rsid w:val="00C947E1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C947E1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docdate1">
    <w:name w:val="docdate1"/>
    <w:rsid w:val="00C947E1"/>
    <w:rPr>
      <w:rFonts w:ascii="Arial" w:hAnsi="Arial" w:cs="Arial"/>
      <w:b/>
      <w:bCs/>
      <w:color w:val="000000"/>
      <w:sz w:val="21"/>
      <w:szCs w:val="21"/>
      <w:u w:val="none"/>
      <w:effect w:val="none"/>
    </w:rPr>
  </w:style>
  <w:style w:type="character" w:customStyle="1" w:styleId="dochead1">
    <w:name w:val="dochead1"/>
    <w:rsid w:val="00C947E1"/>
    <w:rPr>
      <w:rFonts w:ascii="Arial" w:hAnsi="Arial" w:cs="Arial"/>
      <w:b/>
      <w:bCs/>
      <w:color w:val="000000"/>
      <w:sz w:val="31"/>
      <w:szCs w:val="31"/>
      <w:u w:val="none"/>
      <w:effect w:val="none"/>
    </w:rPr>
  </w:style>
  <w:style w:type="paragraph" w:styleId="23">
    <w:name w:val="Body Text 2"/>
    <w:basedOn w:val="a"/>
    <w:link w:val="24"/>
    <w:uiPriority w:val="99"/>
    <w:rsid w:val="00C947E1"/>
    <w:pPr>
      <w:spacing w:after="120" w:line="48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C947E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NormalPar">
    <w:name w:val="NormalPar"/>
    <w:rsid w:val="00C947E1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 w:eastAsia="en-US" w:bidi="he-IL"/>
    </w:rPr>
  </w:style>
  <w:style w:type="character" w:customStyle="1" w:styleId="n2-text">
    <w:name w:val="n2-text"/>
    <w:rsid w:val="00C947E1"/>
    <w:rPr>
      <w:rFonts w:ascii="Times New Roman" w:hAnsi="Times New Roman" w:cs="Times New Roman"/>
    </w:rPr>
  </w:style>
  <w:style w:type="character" w:customStyle="1" w:styleId="text1">
    <w:name w:val="text1"/>
    <w:rsid w:val="00C947E1"/>
    <w:rPr>
      <w:rFonts w:ascii="Verdana" w:hAnsi="Verdana" w:cs="Times New Roman"/>
      <w:color w:val="000000"/>
      <w:sz w:val="18"/>
    </w:rPr>
  </w:style>
  <w:style w:type="character" w:customStyle="1" w:styleId="n2-date">
    <w:name w:val="n2-date"/>
    <w:rsid w:val="00C947E1"/>
    <w:rPr>
      <w:rFonts w:ascii="Times New Roman" w:hAnsi="Times New Roman" w:cs="Times New Roman"/>
    </w:rPr>
  </w:style>
  <w:style w:type="paragraph" w:styleId="af5">
    <w:name w:val="caption"/>
    <w:basedOn w:val="a"/>
    <w:next w:val="a"/>
    <w:uiPriority w:val="35"/>
    <w:qFormat/>
    <w:rsid w:val="00C947E1"/>
    <w:pPr>
      <w:spacing w:before="120" w:after="120" w:line="240" w:lineRule="auto"/>
    </w:pPr>
    <w:rPr>
      <w:rFonts w:ascii="Times New Roman" w:hAnsi="Times New Roman"/>
      <w:b/>
      <w:bCs/>
      <w:sz w:val="20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rsid w:val="00C947E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7">
    <w:name w:val="Текст сноски Знак"/>
    <w:link w:val="af6"/>
    <w:uiPriority w:val="99"/>
    <w:semiHidden/>
    <w:locked/>
    <w:rsid w:val="00C947E1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8">
    <w:name w:val="footnote reference"/>
    <w:uiPriority w:val="99"/>
    <w:semiHidden/>
    <w:rsid w:val="00C947E1"/>
    <w:rPr>
      <w:rFonts w:cs="Times New Roman"/>
      <w:vertAlign w:val="superscript"/>
    </w:rPr>
  </w:style>
  <w:style w:type="table" w:styleId="af9">
    <w:name w:val="Table Grid"/>
    <w:basedOn w:val="a1"/>
    <w:uiPriority w:val="59"/>
    <w:rsid w:val="00C947E1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lock Text"/>
    <w:basedOn w:val="a"/>
    <w:uiPriority w:val="99"/>
    <w:rsid w:val="00C947E1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5" w:right="14" w:firstLine="720"/>
      <w:jc w:val="both"/>
    </w:pPr>
    <w:rPr>
      <w:rFonts w:ascii="Times New Roman" w:hAnsi="Times New Roman"/>
      <w:color w:val="000000"/>
      <w:spacing w:val="1"/>
      <w:sz w:val="56"/>
      <w:szCs w:val="25"/>
      <w:lang w:eastAsia="ru-RU"/>
    </w:rPr>
  </w:style>
  <w:style w:type="paragraph" w:styleId="afb">
    <w:name w:val="List Paragraph"/>
    <w:basedOn w:val="a"/>
    <w:uiPriority w:val="34"/>
    <w:qFormat/>
    <w:rsid w:val="00313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3849</Words>
  <Characters>21941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</dc:creator>
  <cp:keywords/>
  <dc:description/>
  <cp:lastModifiedBy>admin</cp:lastModifiedBy>
  <cp:revision>2</cp:revision>
  <dcterms:created xsi:type="dcterms:W3CDTF">2014-03-24T19:05:00Z</dcterms:created>
  <dcterms:modified xsi:type="dcterms:W3CDTF">2014-03-24T19:05:00Z</dcterms:modified>
</cp:coreProperties>
</file>