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DDC" w:rsidRDefault="00911DDC">
      <w:pPr>
        <w:widowControl w:val="0"/>
        <w:spacing w:before="120"/>
        <w:jc w:val="center"/>
        <w:rPr>
          <w:b/>
          <w:bCs/>
          <w:snapToGrid w:val="0"/>
          <w:color w:val="000000"/>
          <w:sz w:val="32"/>
          <w:szCs w:val="32"/>
          <w:lang w:val="en-US"/>
        </w:rPr>
      </w:pPr>
      <w:r>
        <w:rPr>
          <w:b/>
          <w:bCs/>
          <w:snapToGrid w:val="0"/>
          <w:color w:val="000000"/>
          <w:sz w:val="32"/>
          <w:szCs w:val="32"/>
          <w:lang w:val="en-US"/>
        </w:rPr>
        <w:t>Gesetzgebung in der Bundesrepublik</w:t>
      </w:r>
    </w:p>
    <w:p w:rsidR="00911DDC" w:rsidRDefault="00911DDC">
      <w:pPr>
        <w:widowControl w:val="0"/>
        <w:spacing w:before="120"/>
        <w:ind w:firstLine="567"/>
        <w:jc w:val="both"/>
        <w:rPr>
          <w:snapToGrid w:val="0"/>
          <w:color w:val="000000"/>
          <w:sz w:val="24"/>
          <w:szCs w:val="24"/>
          <w:lang w:val="en-US"/>
        </w:rPr>
      </w:pPr>
      <w:r>
        <w:rPr>
          <w:snapToGrid w:val="0"/>
          <w:color w:val="000000"/>
          <w:sz w:val="24"/>
          <w:szCs w:val="24"/>
          <w:lang w:val="en-US"/>
        </w:rPr>
        <w:t>In der Bundesrepublik ist die Staatsgewalt zwischen Bund und Ländem aufgeteilt. Als oberste gesetzgebende Gewalt berat und verabschiedet der Deutsche Bundestag Gesetze. Anregungen zu Gesetzen können auch von Verbänden oder Interessengruppen kommen. Gesetze einzubringen ist das Recht des Bundestages selbst sowie der Bundesregierung und des Bundesrates. Ausschließliche Gesetzgebung liegt voll in der Kompetenz des Bundes (z. B. auswärtige Angelegenheiten, Verteidigung, Währung). Konkurrierende Gesetzgebung ist das Befugnis der Länder. Sie sind befugt, Gesetze zu erlassen, soweit der Bund nicht im Interesse einer bundeseinheitlichen Regelung tätig ist. Gleiche Wirkung wie das förmliche Gesetz haben die Rechtsverordnungen. Bundesregierung, ein Bundesminister oder eine Länderregierung können durch Gesetz zum ErIaß von Rechtsverord</w:t>
      </w:r>
      <w:r>
        <w:rPr>
          <w:snapToGrid w:val="0"/>
          <w:color w:val="000000"/>
          <w:sz w:val="24"/>
          <w:szCs w:val="24"/>
          <w:lang w:val="en-US"/>
        </w:rPr>
        <w:softHyphen/>
        <w:t>nungen ermächtigt werden.</w:t>
      </w:r>
    </w:p>
    <w:p w:rsidR="00911DDC" w:rsidRDefault="00911DDC">
      <w:pPr>
        <w:widowControl w:val="0"/>
        <w:spacing w:before="120"/>
        <w:ind w:firstLine="567"/>
        <w:jc w:val="both"/>
        <w:rPr>
          <w:noProof/>
          <w:snapToGrid w:val="0"/>
          <w:color w:val="000000"/>
          <w:sz w:val="24"/>
          <w:szCs w:val="24"/>
          <w:lang w:val="en-US"/>
        </w:rPr>
      </w:pPr>
      <w:r>
        <w:rPr>
          <w:snapToGrid w:val="0"/>
          <w:color w:val="000000"/>
          <w:sz w:val="24"/>
          <w:szCs w:val="24"/>
          <w:lang w:val="en-US"/>
        </w:rPr>
        <w:t>„Deutscher Bundestag. Wegder Gesetzgebung", Bonn</w:t>
      </w:r>
      <w:r>
        <w:rPr>
          <w:noProof/>
          <w:snapToGrid w:val="0"/>
          <w:color w:val="000000"/>
          <w:sz w:val="24"/>
          <w:szCs w:val="24"/>
          <w:lang w:val="en-US"/>
        </w:rPr>
        <w:t xml:space="preserve"> 1992</w:t>
      </w:r>
    </w:p>
    <w:p w:rsidR="00911DDC" w:rsidRDefault="00911DDC">
      <w:pPr>
        <w:widowControl w:val="0"/>
        <w:spacing w:before="120"/>
        <w:jc w:val="center"/>
        <w:rPr>
          <w:b/>
          <w:bCs/>
          <w:snapToGrid w:val="0"/>
          <w:color w:val="000000"/>
          <w:sz w:val="28"/>
          <w:szCs w:val="28"/>
          <w:lang w:val="en-US"/>
        </w:rPr>
      </w:pPr>
      <w:r>
        <w:rPr>
          <w:b/>
          <w:bCs/>
          <w:snapToGrid w:val="0"/>
          <w:color w:val="000000"/>
          <w:sz w:val="28"/>
          <w:szCs w:val="28"/>
          <w:lang w:val="en-US"/>
        </w:rPr>
        <w:t>Weg der Gesetzgebung</w:t>
      </w:r>
    </w:p>
    <w:p w:rsidR="00911DDC" w:rsidRDefault="00911DDC">
      <w:pPr>
        <w:widowControl w:val="0"/>
        <w:spacing w:before="120"/>
        <w:ind w:firstLine="567"/>
        <w:jc w:val="both"/>
        <w:rPr>
          <w:snapToGrid w:val="0"/>
          <w:color w:val="000000"/>
          <w:sz w:val="24"/>
          <w:szCs w:val="24"/>
          <w:lang w:val="en-US"/>
        </w:rPr>
      </w:pPr>
      <w:r>
        <w:rPr>
          <w:snapToGrid w:val="0"/>
          <w:color w:val="000000"/>
          <w:sz w:val="24"/>
          <w:szCs w:val="24"/>
          <w:lang w:val="en-US"/>
        </w:rPr>
        <w:t>Eine Fraktion des Bundestages oder mindestens</w:t>
      </w:r>
      <w:r>
        <w:rPr>
          <w:noProof/>
          <w:snapToGrid w:val="0"/>
          <w:color w:val="000000"/>
          <w:sz w:val="24"/>
          <w:szCs w:val="24"/>
          <w:lang w:val="en-US"/>
        </w:rPr>
        <w:t xml:space="preserve"> 34</w:t>
      </w:r>
      <w:r>
        <w:rPr>
          <w:snapToGrid w:val="0"/>
          <w:color w:val="000000"/>
          <w:sz w:val="24"/>
          <w:szCs w:val="24"/>
          <w:lang w:val="en-US"/>
        </w:rPr>
        <w:t xml:space="preserve"> Abgeordnete</w:t>
      </w:r>
      <w:r>
        <w:rPr>
          <w:noProof/>
          <w:snapToGrid w:val="0"/>
          <w:color w:val="000000"/>
          <w:sz w:val="24"/>
          <w:szCs w:val="24"/>
          <w:lang w:val="en-US"/>
        </w:rPr>
        <w:t xml:space="preserve"> können In</w:t>
      </w:r>
      <w:r>
        <w:rPr>
          <w:snapToGrid w:val="0"/>
          <w:color w:val="000000"/>
          <w:sz w:val="24"/>
          <w:szCs w:val="24"/>
          <w:lang w:val="en-US"/>
        </w:rPr>
        <w:t>itiativen unmittelbar beim Präsidenten des Bundestages einbringen. Sie werden ü</w:t>
      </w:r>
      <w:r>
        <w:rPr>
          <w:noProof/>
          <w:snapToGrid w:val="0"/>
          <w:color w:val="000000"/>
          <w:sz w:val="24"/>
          <w:szCs w:val="24"/>
          <w:lang w:val="en-US"/>
        </w:rPr>
        <w:t>ber</w:t>
      </w:r>
      <w:r>
        <w:rPr>
          <w:snapToGrid w:val="0"/>
          <w:color w:val="000000"/>
          <w:sz w:val="24"/>
          <w:szCs w:val="24"/>
          <w:lang w:val="en-US"/>
        </w:rPr>
        <w:t xml:space="preserve"> den Altestenrat direkt auf die Tagesordnung des Plenums gesetzt. Initiativen der Bundesregierung gehen zunachst an den Bundesrat. Dann leitet die Regierung die Vorlage mit der Stellungnahme des Bundesrates und ihrer Gegenäußerung dem Präsidenten des Bundestages zu. Initiativen des Bundesrates werden der Re</w:t>
      </w:r>
      <w:r>
        <w:rPr>
          <w:snapToGrid w:val="0"/>
          <w:color w:val="000000"/>
          <w:sz w:val="24"/>
          <w:szCs w:val="24"/>
          <w:lang w:val="en-US"/>
        </w:rPr>
        <w:softHyphen/>
        <w:t>gierung zugestellt, die sie mit einer Stellungnahme innerhalb von drei Monaten an den Bundestag weiterleiten muß. Die Gesetzentwurfe des Bundesrates gehen zumeist auf Initiativen eines Bundeslandes zurück, die in Ausschüssen des Bun</w:t>
      </w:r>
      <w:r>
        <w:rPr>
          <w:snapToGrid w:val="0"/>
          <w:color w:val="000000"/>
          <w:sz w:val="24"/>
          <w:szCs w:val="24"/>
          <w:lang w:val="en-US"/>
        </w:rPr>
        <w:softHyphen/>
        <w:t>desrates behandelt und dann vom Bundesrat besehlossen wurden.</w:t>
      </w:r>
    </w:p>
    <w:p w:rsidR="00911DDC" w:rsidRDefault="00911DDC">
      <w:pPr>
        <w:widowControl w:val="0"/>
        <w:spacing w:before="120"/>
        <w:ind w:firstLine="567"/>
        <w:jc w:val="both"/>
        <w:rPr>
          <w:snapToGrid w:val="0"/>
          <w:color w:val="000000"/>
          <w:sz w:val="24"/>
          <w:szCs w:val="24"/>
          <w:lang w:val="en-US"/>
        </w:rPr>
      </w:pPr>
      <w:r>
        <w:rPr>
          <w:snapToGrid w:val="0"/>
          <w:color w:val="000000"/>
          <w:sz w:val="24"/>
          <w:szCs w:val="24"/>
          <w:lang w:val="en-US"/>
        </w:rPr>
        <w:t>Die Erste Beratong (Lesung) dient der allgemeinen Aussprache über die politische Notwendigkeit und die Zielsetzung einer Vorlage. Am Schluß wird die Vorlage einem Ausschuß, in der Regel mehreren Ausschüssen unter Federführung eines Ausschusses, zur Beratung überwiesen. Bei Anderungsgesetzen (Novellen zu geltenden Gesetzen) erfolgt die Überweisung häufig ohne Aussprache. Die vom Ausschuß  erarbeiteten Änderungen werden in einer Neufassung dem Plenum zur zweiten Beratung vorgelegt.</w:t>
      </w:r>
    </w:p>
    <w:p w:rsidR="00911DDC" w:rsidRDefault="00911DDC">
      <w:pPr>
        <w:widowControl w:val="0"/>
        <w:spacing w:before="120"/>
        <w:ind w:firstLine="567"/>
        <w:jc w:val="both"/>
        <w:rPr>
          <w:snapToGrid w:val="0"/>
          <w:color w:val="000000"/>
          <w:sz w:val="24"/>
          <w:szCs w:val="24"/>
          <w:lang w:val="en-US"/>
        </w:rPr>
      </w:pPr>
      <w:r>
        <w:rPr>
          <w:snapToGrid w:val="0"/>
          <w:color w:val="000000"/>
          <w:sz w:val="24"/>
          <w:szCs w:val="24"/>
          <w:lang w:val="en-US"/>
        </w:rPr>
        <w:t>In der Zweiten Beratung (Lesung) wird über jede Bestimmung des Entwurfs einzein abgestimmt. Jeder Abgeordnete kann Änderungsäntrage stellen. Die Dritte Beratung (Lesung) findet unmittelbar nach der Zweiten Beratung statt, wenn keine Änderungen besehlossen wurden. Sonst, wenn den Abgeordneten der gedruckte Text der Änderungen einen Tag vorgelegen hat. Änderungsanträge zur Dritten Beratung bedürfen der Unterstützung von mindestens</w:t>
      </w:r>
      <w:r>
        <w:rPr>
          <w:noProof/>
          <w:snapToGrid w:val="0"/>
          <w:color w:val="000000"/>
          <w:sz w:val="24"/>
          <w:szCs w:val="24"/>
          <w:lang w:val="en-US"/>
        </w:rPr>
        <w:t xml:space="preserve"> 34</w:t>
      </w:r>
      <w:r>
        <w:rPr>
          <w:snapToGrid w:val="0"/>
          <w:color w:val="000000"/>
          <w:sz w:val="24"/>
          <w:szCs w:val="24"/>
          <w:lang w:val="en-US"/>
        </w:rPr>
        <w:t xml:space="preserve"> Abgeordneten </w:t>
      </w:r>
      <w:r>
        <w:rPr>
          <w:noProof/>
          <w:snapToGrid w:val="0"/>
          <w:color w:val="000000"/>
          <w:sz w:val="24"/>
          <w:szCs w:val="24"/>
          <w:lang w:val="en-US"/>
        </w:rPr>
        <w:t>(5</w:t>
      </w:r>
      <w:r>
        <w:rPr>
          <w:snapToGrid w:val="0"/>
          <w:color w:val="000000"/>
          <w:sz w:val="24"/>
          <w:szCs w:val="24"/>
          <w:lang w:val="en-US"/>
        </w:rPr>
        <w:t xml:space="preserve"> Prozent Mitglieder des Bundestages-Mindeststärke einer Fraktion). Am Ende steht der Gesetzbeschluß.</w:t>
      </w:r>
    </w:p>
    <w:p w:rsidR="00911DDC" w:rsidRDefault="00911DDC">
      <w:pPr>
        <w:widowControl w:val="0"/>
        <w:spacing w:before="120"/>
        <w:ind w:firstLine="567"/>
        <w:jc w:val="both"/>
        <w:rPr>
          <w:snapToGrid w:val="0"/>
          <w:color w:val="000000"/>
          <w:sz w:val="24"/>
          <w:szCs w:val="24"/>
          <w:lang w:val="en-US"/>
        </w:rPr>
      </w:pPr>
      <w:r>
        <w:rPr>
          <w:snapToGrid w:val="0"/>
          <w:color w:val="000000"/>
          <w:sz w:val="24"/>
          <w:szCs w:val="24"/>
          <w:lang w:val="en-US"/>
        </w:rPr>
        <w:t>Nach der Verabschiedung eines Gesetzes durch Bundestag und Bundesrat wird es gedruckt und zunächst dem zuständigen Minister, dann, mit dem großen Bundessiegel versehen, dem Bundeskanzler zur Gegenzeichnung vorgelegt. Nun wird das Gesetz dem Bundespräsidenten vorgelegt. Er hat das Recht zu prüfen, ob das Gesetz verfassungskonform ist, d. h. das es keine Bestimmung des Grundgesetzes verletzt. Wenn keine verfassungsrechtlichen Bedenken bestehen, unterzeichnet der Bundespräsident das Gesetz. Damit ist es ausgefertigt. Das ausgefertigte Gesetz wird im Bundesgesetzblatt verkündet. Damit kann es an dem im Gesetz festgelegten Stichtag in Kraft treten. Ist kein solches Datum genannt, wird es am</w:t>
      </w:r>
      <w:r>
        <w:rPr>
          <w:noProof/>
          <w:snapToGrid w:val="0"/>
          <w:color w:val="000000"/>
          <w:sz w:val="24"/>
          <w:szCs w:val="24"/>
          <w:lang w:val="en-US"/>
        </w:rPr>
        <w:t xml:space="preserve"> 14.</w:t>
      </w:r>
      <w:r>
        <w:rPr>
          <w:snapToGrid w:val="0"/>
          <w:color w:val="000000"/>
          <w:sz w:val="24"/>
          <w:szCs w:val="24"/>
          <w:lang w:val="en-US"/>
        </w:rPr>
        <w:t xml:space="preserve"> Tag nach der Ausgabe des Bundesgesetzblattes rechtswirksam.</w:t>
      </w:r>
    </w:p>
    <w:p w:rsidR="00911DDC" w:rsidRDefault="00911DDC">
      <w:pPr>
        <w:widowControl w:val="0"/>
        <w:spacing w:before="120"/>
        <w:jc w:val="center"/>
        <w:rPr>
          <w:b/>
          <w:bCs/>
          <w:snapToGrid w:val="0"/>
          <w:color w:val="000000"/>
          <w:sz w:val="28"/>
          <w:szCs w:val="28"/>
          <w:lang w:val="en-US"/>
        </w:rPr>
      </w:pPr>
      <w:r>
        <w:rPr>
          <w:b/>
          <w:bCs/>
          <w:snapToGrid w:val="0"/>
          <w:color w:val="000000"/>
          <w:sz w:val="28"/>
          <w:szCs w:val="28"/>
          <w:lang w:val="en-US"/>
        </w:rPr>
        <w:t>Österreich: Gesetzgebung</w:t>
      </w:r>
    </w:p>
    <w:p w:rsidR="00911DDC" w:rsidRDefault="00911DDC">
      <w:pPr>
        <w:widowControl w:val="0"/>
        <w:spacing w:before="120"/>
        <w:ind w:firstLine="567"/>
        <w:jc w:val="both"/>
        <w:rPr>
          <w:snapToGrid w:val="0"/>
          <w:color w:val="000000"/>
          <w:sz w:val="24"/>
          <w:szCs w:val="24"/>
          <w:lang w:val="en-US"/>
        </w:rPr>
      </w:pPr>
      <w:r>
        <w:rPr>
          <w:snapToGrid w:val="0"/>
          <w:color w:val="000000"/>
          <w:sz w:val="24"/>
          <w:szCs w:val="24"/>
          <w:lang w:val="en-US"/>
        </w:rPr>
        <w:t>Ein Gesetzentwurf, der dem Nationalrat zur Beratung vorgelegt wird, heißt Gesetzvorschlag. Einen</w:t>
      </w:r>
      <w:r>
        <w:rPr>
          <w:noProof/>
          <w:snapToGrid w:val="0"/>
          <w:color w:val="000000"/>
          <w:sz w:val="24"/>
          <w:szCs w:val="24"/>
          <w:lang w:val="en-US"/>
        </w:rPr>
        <w:t xml:space="preserve"> Gesetzvorschlag</w:t>
      </w:r>
      <w:r>
        <w:rPr>
          <w:snapToGrid w:val="0"/>
          <w:color w:val="000000"/>
          <w:sz w:val="24"/>
          <w:szCs w:val="24"/>
          <w:lang w:val="en-US"/>
        </w:rPr>
        <w:t xml:space="preserve"> kann entweder die Regierung einbringen oder eine der Parteien des Hauses. Die Gesetzvorschläge werden gewöhnlich drei Beratungen (Lesungen) unterzogen. Nach der ersten Lesung, in der die Einbringung begründet wird, weist der Nationalrat das Gesetz einem der Ausschüsse zu.</w:t>
      </w:r>
    </w:p>
    <w:p w:rsidR="00911DDC" w:rsidRDefault="00911DDC">
      <w:pPr>
        <w:widowControl w:val="0"/>
        <w:spacing w:before="120"/>
        <w:ind w:firstLine="567"/>
        <w:jc w:val="both"/>
        <w:rPr>
          <w:snapToGrid w:val="0"/>
          <w:color w:val="000000"/>
          <w:sz w:val="24"/>
          <w:szCs w:val="24"/>
          <w:lang w:val="en-US"/>
        </w:rPr>
      </w:pPr>
      <w:r>
        <w:rPr>
          <w:snapToGrid w:val="0"/>
          <w:color w:val="000000"/>
          <w:sz w:val="24"/>
          <w:szCs w:val="24"/>
          <w:lang w:val="en-US"/>
        </w:rPr>
        <w:t>Der Ausschuß unterzieht den Entwurf einer gründlichen Beratung, nimmt Verbesserungen und Anderungen vor und bestimmt einen Berichterstatter für das Haus. Der Berichterstatter ergreift in der zweiten Lesung als erster das Wort und gibt den wesentlichen Inhalt des Entwurfs bekannt. An diesen Bericht schließt sich eine Wechselrede. Mit der Dritten Lesung ist die Abstimmung verbunden. Bei den meisten Gesetzen genügt die Anwesenheit eines Drittels der Mitglieder und eine einfache Stimmenmehrheit. Nur bei Gesetzen, die auf eine Verfassungsänderung abzielen, ist die Anwesenheit von mindestens</w:t>
      </w:r>
      <w:r>
        <w:rPr>
          <w:noProof/>
          <w:snapToGrid w:val="0"/>
          <w:color w:val="000000"/>
          <w:sz w:val="24"/>
          <w:szCs w:val="24"/>
          <w:lang w:val="en-US"/>
        </w:rPr>
        <w:t xml:space="preserve"> 83</w:t>
      </w:r>
      <w:r>
        <w:rPr>
          <w:snapToGrid w:val="0"/>
          <w:color w:val="000000"/>
          <w:sz w:val="24"/>
          <w:szCs w:val="24"/>
          <w:lang w:val="en-US"/>
        </w:rPr>
        <w:t xml:space="preserve"> Nationalraten und eine Zweidrittelmehrheit erforderlich.</w:t>
      </w:r>
    </w:p>
    <w:p w:rsidR="00911DDC" w:rsidRDefault="00911DDC">
      <w:pPr>
        <w:widowControl w:val="0"/>
        <w:spacing w:before="120"/>
        <w:ind w:firstLine="567"/>
        <w:jc w:val="both"/>
        <w:rPr>
          <w:snapToGrid w:val="0"/>
          <w:color w:val="000000"/>
          <w:sz w:val="24"/>
          <w:szCs w:val="24"/>
          <w:lang w:val="en-US"/>
        </w:rPr>
      </w:pPr>
      <w:r>
        <w:rPr>
          <w:snapToGrid w:val="0"/>
          <w:color w:val="000000"/>
          <w:sz w:val="24"/>
          <w:szCs w:val="24"/>
          <w:lang w:val="en-US"/>
        </w:rPr>
        <w:t>Das vom Nationalrat beschlossene Gesetz gelangt durch die Vennittlung des Bundeskanzlers an den Bundesrat. Dieserkann binnen acht Wochen gegen den Beschluß des Nationalrates Einspruch erheben. Beschließt aber der National</w:t>
      </w:r>
      <w:r>
        <w:rPr>
          <w:snapToGrid w:val="0"/>
          <w:color w:val="000000"/>
          <w:sz w:val="24"/>
          <w:szCs w:val="24"/>
          <w:lang w:val="en-US"/>
        </w:rPr>
        <w:softHyphen/>
        <w:t>rat bei Anwesenheit der Hälfte seiner Mitglieder das Gesetz noch einmal, dann erlischt das Einspruchsrecht des Bundesrates. Wird das Gesetz vom Bundesrat unverändert angenommen, dann erfolgt die Beurkundung und Kundmachung im Gesetzblatt. Jedes Gesetz muß die Unterschrift des Bundespräsidenten, des Bun</w:t>
      </w:r>
      <w:r>
        <w:rPr>
          <w:snapToGrid w:val="0"/>
          <w:color w:val="000000"/>
          <w:sz w:val="24"/>
          <w:szCs w:val="24"/>
          <w:lang w:val="en-US"/>
        </w:rPr>
        <w:softHyphen/>
        <w:t>deskanzlers und des zuständigen Ministers tragen.</w:t>
      </w:r>
    </w:p>
    <w:p w:rsidR="00911DDC" w:rsidRDefault="00911DDC">
      <w:pPr>
        <w:widowControl w:val="0"/>
        <w:spacing w:before="120"/>
        <w:ind w:firstLine="567"/>
        <w:jc w:val="both"/>
        <w:rPr>
          <w:snapToGrid w:val="0"/>
          <w:color w:val="000000"/>
          <w:sz w:val="24"/>
          <w:szCs w:val="24"/>
          <w:lang w:val="en-US"/>
        </w:rPr>
      </w:pPr>
      <w:r>
        <w:rPr>
          <w:snapToGrid w:val="0"/>
          <w:color w:val="000000"/>
          <w:sz w:val="24"/>
          <w:szCs w:val="24"/>
          <w:lang w:val="en-US"/>
        </w:rPr>
        <w:t>Die zur Durchführung des Gesetzes notwendigen Bestimmungen werden durch Verordnungen eriassen, die der zuständige Minister herausgibt.</w:t>
      </w:r>
    </w:p>
    <w:p w:rsidR="00911DDC" w:rsidRDefault="00911DDC">
      <w:pPr>
        <w:widowControl w:val="0"/>
        <w:spacing w:before="120"/>
        <w:ind w:firstLine="590"/>
        <w:jc w:val="both"/>
        <w:rPr>
          <w:color w:val="000000"/>
          <w:sz w:val="24"/>
          <w:szCs w:val="24"/>
          <w:lang w:val="de-DE"/>
        </w:rPr>
      </w:pPr>
      <w:bookmarkStart w:id="0" w:name="_GoBack"/>
      <w:bookmarkEnd w:id="0"/>
    </w:p>
    <w:sectPr w:rsidR="00911DDC">
      <w:pgSz w:w="11906" w:h="16838" w:code="9"/>
      <w:pgMar w:top="1134" w:right="1134" w:bottom="1134" w:left="1134" w:header="1440" w:footer="1440" w:gutter="0"/>
      <w:cols w:space="709"/>
      <w:noEndnote/>
      <w:docGrid w:linePitch="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D429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182029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43C4F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269E296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9AA183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B3300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33F33BB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3803078A"/>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9A51EC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3FB3798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4243460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7D21346"/>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13935A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56276F4D"/>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D48575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6D301FC7"/>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A5441F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7"/>
  </w:num>
  <w:num w:numId="2">
    <w:abstractNumId w:val="3"/>
  </w:num>
  <w:num w:numId="3">
    <w:abstractNumId w:val="1"/>
  </w:num>
  <w:num w:numId="4">
    <w:abstractNumId w:val="5"/>
  </w:num>
  <w:num w:numId="5">
    <w:abstractNumId w:val="9"/>
  </w:num>
  <w:num w:numId="6">
    <w:abstractNumId w:val="16"/>
  </w:num>
  <w:num w:numId="7">
    <w:abstractNumId w:val="13"/>
  </w:num>
  <w:num w:numId="8">
    <w:abstractNumId w:val="8"/>
  </w:num>
  <w:num w:numId="9">
    <w:abstractNumId w:val="12"/>
  </w:num>
  <w:num w:numId="10">
    <w:abstractNumId w:val="10"/>
  </w:num>
  <w:num w:numId="11">
    <w:abstractNumId w:val="2"/>
  </w:num>
  <w:num w:numId="12">
    <w:abstractNumId w:val="4"/>
  </w:num>
  <w:num w:numId="13">
    <w:abstractNumId w:val="6"/>
  </w:num>
  <w:num w:numId="14">
    <w:abstractNumId w:val="14"/>
  </w:num>
  <w:num w:numId="15">
    <w:abstractNumId w:val="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48B1"/>
    <w:rsid w:val="000B0D02"/>
    <w:rsid w:val="003966E3"/>
    <w:rsid w:val="00911DDC"/>
    <w:rsid w:val="009448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E5C06E-1B61-4C82-85AA-DFDB6378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next w:val="a"/>
    <w:uiPriority w:val="99"/>
    <w:pPr>
      <w:autoSpaceDE w:val="0"/>
      <w:autoSpaceDN w:val="0"/>
    </w:pPr>
    <w:rPr>
      <w:rFonts w:ascii="Times New Roman" w:hAnsi="Times New Roman"/>
      <w:noProof/>
      <w:lang w:val="en-US" w:eastAsia="ru-RU"/>
    </w:rPr>
  </w:style>
  <w:style w:type="paragraph" w:customStyle="1" w:styleId="2">
    <w:name w:val="заголовок 2"/>
    <w:next w:val="a"/>
    <w:uiPriority w:val="99"/>
    <w:pPr>
      <w:autoSpaceDE w:val="0"/>
      <w:autoSpaceDN w:val="0"/>
    </w:pPr>
    <w:rPr>
      <w:rFonts w:ascii="Times New Roman" w:hAnsi="Times New Roman"/>
      <w:noProof/>
      <w:lang w:val="en-US" w:eastAsia="ru-RU"/>
    </w:rPr>
  </w:style>
  <w:style w:type="paragraph" w:customStyle="1" w:styleId="3">
    <w:name w:val="заголовок 3"/>
    <w:next w:val="a"/>
    <w:uiPriority w:val="99"/>
    <w:pPr>
      <w:autoSpaceDE w:val="0"/>
      <w:autoSpaceDN w:val="0"/>
    </w:pPr>
    <w:rPr>
      <w:rFonts w:ascii="Times New Roman" w:hAnsi="Times New Roman"/>
      <w:noProof/>
      <w:lang w:val="en-US" w:eastAsia="ru-RU"/>
    </w:rPr>
  </w:style>
  <w:style w:type="paragraph" w:customStyle="1" w:styleId="4">
    <w:name w:val="заголовок 4"/>
    <w:next w:val="a"/>
    <w:uiPriority w:val="99"/>
    <w:pPr>
      <w:autoSpaceDE w:val="0"/>
      <w:autoSpaceDN w:val="0"/>
    </w:pPr>
    <w:rPr>
      <w:rFonts w:ascii="Times New Roman" w:hAnsi="Times New Roman"/>
      <w:noProof/>
      <w:lang w:val="en-US" w:eastAsia="ru-RU"/>
    </w:rPr>
  </w:style>
  <w:style w:type="paragraph" w:customStyle="1" w:styleId="5">
    <w:name w:val="заголовок 5"/>
    <w:next w:val="a"/>
    <w:uiPriority w:val="99"/>
    <w:pPr>
      <w:autoSpaceDE w:val="0"/>
      <w:autoSpaceDN w:val="0"/>
    </w:pPr>
    <w:rPr>
      <w:rFonts w:ascii="Times New Roman" w:hAnsi="Times New Roman"/>
      <w:noProof/>
      <w:lang w:val="en-US" w:eastAsia="ru-RU"/>
    </w:rPr>
  </w:style>
  <w:style w:type="paragraph" w:customStyle="1" w:styleId="6">
    <w:name w:val="заголовок 6"/>
    <w:next w:val="a"/>
    <w:uiPriority w:val="99"/>
    <w:pPr>
      <w:autoSpaceDE w:val="0"/>
      <w:autoSpaceDN w:val="0"/>
    </w:pPr>
    <w:rPr>
      <w:rFonts w:ascii="Times New Roman" w:hAnsi="Times New Roman"/>
      <w:noProof/>
      <w:lang w:val="en-US" w:eastAsia="ru-RU"/>
    </w:rPr>
  </w:style>
  <w:style w:type="paragraph" w:customStyle="1" w:styleId="7">
    <w:name w:val="заголовок 7"/>
    <w:next w:val="a"/>
    <w:uiPriority w:val="99"/>
    <w:pPr>
      <w:autoSpaceDE w:val="0"/>
      <w:autoSpaceDN w:val="0"/>
    </w:pPr>
    <w:rPr>
      <w:rFonts w:ascii="Times New Roman" w:hAnsi="Times New Roman"/>
      <w:noProof/>
      <w:lang w:val="en-US" w:eastAsia="ru-RU"/>
    </w:rPr>
  </w:style>
  <w:style w:type="paragraph" w:customStyle="1" w:styleId="8">
    <w:name w:val="заголовок 8"/>
    <w:next w:val="a"/>
    <w:uiPriority w:val="99"/>
    <w:pPr>
      <w:autoSpaceDE w:val="0"/>
      <w:autoSpaceDN w:val="0"/>
    </w:pPr>
    <w:rPr>
      <w:rFonts w:ascii="Times New Roman" w:hAnsi="Times New Roman"/>
      <w:noProof/>
      <w:lang w:val="en-US" w:eastAsia="ru-RU"/>
    </w:rPr>
  </w:style>
  <w:style w:type="paragraph" w:customStyle="1" w:styleId="9">
    <w:name w:val="заголовок 9"/>
    <w:next w:val="a"/>
    <w:uiPriority w:val="99"/>
    <w:pPr>
      <w:autoSpaceDE w:val="0"/>
      <w:autoSpaceDN w:val="0"/>
    </w:pPr>
    <w:rPr>
      <w:rFonts w:ascii="Times New Roman" w:hAnsi="Times New Roman"/>
      <w:noProof/>
      <w:lang w:val="en-US" w:eastAsia="ru-RU"/>
    </w:rPr>
  </w:style>
  <w:style w:type="character" w:customStyle="1" w:styleId="a3">
    <w:name w:val="Основной шрифт"/>
    <w:uiPriority w:val="99"/>
  </w:style>
  <w:style w:type="paragraph" w:customStyle="1" w:styleId="FR1">
    <w:name w:val="FR1"/>
    <w:uiPriority w:val="99"/>
    <w:pPr>
      <w:widowControl w:val="0"/>
      <w:autoSpaceDE w:val="0"/>
      <w:autoSpaceDN w:val="0"/>
      <w:spacing w:before="100" w:line="260" w:lineRule="auto"/>
      <w:ind w:left="1000" w:right="800" w:hanging="920"/>
    </w:pPr>
    <w:rPr>
      <w:rFonts w:ascii="Arial" w:hAnsi="Arial" w:cs="Arial"/>
      <w:b/>
      <w:bCs/>
      <w:i/>
      <w:iCs/>
      <w:sz w:val="18"/>
      <w:szCs w:val="18"/>
      <w:lang w:val="en-US" w:eastAsia="ru-RU"/>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3376</Words>
  <Characters>1925</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Gesetzgebung in der Bundesrepublik</vt:lpstr>
    </vt:vector>
  </TitlesOfParts>
  <Company>PERSONAL COMPUTERS</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Gesetzgebung in der Bundesrepublik</dc:title>
  <dc:subject/>
  <dc:creator>USER</dc:creator>
  <cp:keywords/>
  <dc:description/>
  <cp:lastModifiedBy>admin</cp:lastModifiedBy>
  <cp:revision>2</cp:revision>
  <dcterms:created xsi:type="dcterms:W3CDTF">2014-01-26T09:34:00Z</dcterms:created>
  <dcterms:modified xsi:type="dcterms:W3CDTF">2014-01-26T09:34:00Z</dcterms:modified>
</cp:coreProperties>
</file>