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43" w:rsidRPr="00462361" w:rsidRDefault="00443443" w:rsidP="00443443">
      <w:pPr>
        <w:spacing w:before="120"/>
        <w:jc w:val="center"/>
        <w:rPr>
          <w:b/>
          <w:bCs/>
          <w:sz w:val="32"/>
          <w:szCs w:val="32"/>
        </w:rPr>
      </w:pPr>
      <w:r w:rsidRPr="00462361">
        <w:rPr>
          <w:b/>
          <w:bCs/>
          <w:sz w:val="32"/>
          <w:szCs w:val="32"/>
        </w:rPr>
        <w:t>Особенности формирования учетной политики строительной организации</w:t>
      </w:r>
    </w:p>
    <w:p w:rsidR="00443443" w:rsidRPr="00B369EA" w:rsidRDefault="00443443" w:rsidP="00443443">
      <w:pPr>
        <w:spacing w:before="120"/>
        <w:ind w:firstLine="567"/>
        <w:jc w:val="both"/>
      </w:pPr>
      <w:r w:rsidRPr="00B369EA">
        <w:t>В соответствии с Законом о бухгалтерском учете, организации самостоятельно формируют свою учетную политику. При этом, организации необходимо руководствоваться законодательством Российской Федерации о бухгалтерском учете, законодательством о налогах и сборах, нормативными актами органов, регулирующих бухгалтерский учет и учитывать свою структуру.</w:t>
      </w:r>
    </w:p>
    <w:p w:rsidR="00443443" w:rsidRPr="00B369EA" w:rsidRDefault="00443443" w:rsidP="00443443">
      <w:pPr>
        <w:spacing w:before="120"/>
        <w:ind w:firstLine="567"/>
        <w:jc w:val="both"/>
      </w:pPr>
      <w:r w:rsidRPr="00B369EA">
        <w:t>Основы формирования и раскрытия учетной политики в целях бухгалтерского учета для организаций установлены ПБУ 1/98, утвержденного Приказом Минфина Российской Федерации от 9 декабря 1998 года №60н "Об утверждении положения по бухгалтерскому учету "Учетная политика организации" ПБУ 1/98". Специфика строительного производства обуславливает участие в договоре строительного подряда трех сторон - инвестора, заказчика и подрядной строительной организации.</w:t>
      </w:r>
    </w:p>
    <w:p w:rsidR="00443443" w:rsidRPr="00B369EA" w:rsidRDefault="00443443" w:rsidP="00443443">
      <w:pPr>
        <w:spacing w:before="120"/>
        <w:ind w:firstLine="567"/>
        <w:jc w:val="both"/>
      </w:pPr>
      <w:r w:rsidRPr="00B369EA">
        <w:t>В организациях, выполняющих функции заказчика (не инвестора), в дополнение к общим вопросам при формировании учетной политики необходимо учесть следующие особенности:</w:t>
      </w:r>
    </w:p>
    <w:p w:rsidR="00443443" w:rsidRPr="00B369EA" w:rsidRDefault="00443443" w:rsidP="00443443">
      <w:pPr>
        <w:spacing w:before="120"/>
        <w:ind w:firstLine="567"/>
        <w:jc w:val="both"/>
      </w:pPr>
      <w:r w:rsidRPr="00B369EA">
        <w:t>В части учета материально-производственных запасов.</w:t>
      </w:r>
    </w:p>
    <w:p w:rsidR="00443443" w:rsidRPr="00B369EA" w:rsidRDefault="00443443" w:rsidP="00443443">
      <w:pPr>
        <w:spacing w:before="120"/>
        <w:ind w:firstLine="567"/>
        <w:jc w:val="both"/>
      </w:pPr>
      <w:r w:rsidRPr="00B369EA">
        <w:t>Материалы поставки заказчика отражаются на отдельном субсчете "Строительные материалы", открываемом к счету 10 "Материалы". Особенностью движения этих материалов является то, что они приобретаются исключительно для передачи подрядной организации, а также то, что сроки их хранения, как правило, являются определенными. Так как стоимость списанных материалов на себестоимость продукции, работ или услуг основного производства не влияет, наиболее целесообразным представляется использование метода оценки материалов по фактической себестоимости единицы запасов или по их средней себестоимости. При этом материалы, учитываемые на других субсчетах, открываемых к счету 10, могут списываться в оценке, определяемой иными методами (ФИФО, ЛИФО). Документы системы нормативного регулирования бухгалтерского учета допускают установление разных методов оценки (при списании) в отношении различных групп материально-производственных запасов.</w:t>
      </w:r>
    </w:p>
    <w:p w:rsidR="00443443" w:rsidRPr="00B369EA" w:rsidRDefault="00443443" w:rsidP="00443443">
      <w:pPr>
        <w:spacing w:before="120"/>
        <w:ind w:firstLine="567"/>
        <w:jc w:val="both"/>
      </w:pPr>
      <w:r w:rsidRPr="00B369EA">
        <w:t>Специфическим видом материально-производственных запасов, учитываемых организациями, выполняющими функции заказчика по договору строительного подряда, является оборудование к установке. По данному виду запасов также следует установить метод учета (с использованием либо без использования счета 15 "Заготовление и приобретение материальных ценностей" или 16 "Отклонение в стоимости материальных ценностей"). Списание стоимости оборудования к установке и дальнейшее ее включение в стоимость незавершенного строительства (и инвентарной стоимости законченных строительством объектов) также имеет свои особенности, которые должны быть учтены при разработке графика документооборота;</w:t>
      </w:r>
    </w:p>
    <w:p w:rsidR="00443443" w:rsidRPr="00B369EA" w:rsidRDefault="00443443" w:rsidP="00443443">
      <w:pPr>
        <w:spacing w:before="120"/>
        <w:ind w:firstLine="567"/>
        <w:jc w:val="both"/>
      </w:pPr>
      <w:r w:rsidRPr="00B369EA">
        <w:t>В части учета объемов незавершенного строительства.</w:t>
      </w:r>
    </w:p>
    <w:p w:rsidR="00443443" w:rsidRPr="00B369EA" w:rsidRDefault="00443443" w:rsidP="00443443">
      <w:pPr>
        <w:spacing w:before="120"/>
        <w:ind w:firstLine="567"/>
        <w:jc w:val="both"/>
      </w:pPr>
      <w:r w:rsidRPr="00B369EA">
        <w:t>Незавершенное строительство учитывается на счете 08 "Вложения во внеоборотные активы" по соответствующим субсчетам. Поэтому в учетной политике организации-застройщика должен быть предусмотрен отдельный раздел, регулирующий организацию учета данного вида активов. В частности, в рабочем плане счетов должны быть указаны субсчета второго и последующих порядков. В организациях-застройщиках к счету 08 должны открываться, как минимум, субсчета "Строительство объектов основных средств" (для учета строительно-монтажных работ и смонтированного оборудования) и "Приобретение отдельных объектов основных средств" (для учета оборудования, не требующего монтажа).</w:t>
      </w:r>
    </w:p>
    <w:p w:rsidR="00443443" w:rsidRPr="00B369EA" w:rsidRDefault="00443443" w:rsidP="00443443">
      <w:pPr>
        <w:spacing w:before="120"/>
        <w:ind w:firstLine="567"/>
        <w:jc w:val="both"/>
      </w:pPr>
      <w:r w:rsidRPr="00B369EA">
        <w:t>Если строительство связано с приобретением земельных участков, к счету 08 открывается также субсчет "Приобретение земельных участков".</w:t>
      </w:r>
    </w:p>
    <w:p w:rsidR="00443443" w:rsidRPr="00B369EA" w:rsidRDefault="00443443" w:rsidP="00443443">
      <w:pPr>
        <w:spacing w:before="120"/>
        <w:ind w:firstLine="567"/>
        <w:jc w:val="both"/>
      </w:pPr>
      <w:r w:rsidRPr="00B369EA">
        <w:t>Для организации аналитического бухгалтерского учета по видам затрат (строительные работы, монтажные работы, прочие затраты) открываются соответствующие субсчета третьего порядка.</w:t>
      </w:r>
    </w:p>
    <w:p w:rsidR="00443443" w:rsidRPr="00B369EA" w:rsidRDefault="00443443" w:rsidP="00443443">
      <w:pPr>
        <w:spacing w:before="120"/>
        <w:ind w:firstLine="567"/>
        <w:jc w:val="both"/>
      </w:pPr>
      <w:r w:rsidRPr="00B369EA">
        <w:t>Для детализации отдельных видов расходов (прочих) открываются субсчета четвертого и последующих уровней.</w:t>
      </w:r>
    </w:p>
    <w:p w:rsidR="00443443" w:rsidRPr="00B369EA" w:rsidRDefault="00443443" w:rsidP="00443443">
      <w:pPr>
        <w:spacing w:before="120"/>
        <w:ind w:firstLine="567"/>
        <w:jc w:val="both"/>
      </w:pPr>
      <w:r w:rsidRPr="00B369EA">
        <w:t>Кроме того, в учетной политике должны быть отражены организационные аспекты, связанные с учетом капитальных вложений.</w:t>
      </w:r>
    </w:p>
    <w:p w:rsidR="00443443" w:rsidRPr="00B369EA" w:rsidRDefault="00443443" w:rsidP="00443443">
      <w:pPr>
        <w:spacing w:before="120"/>
        <w:ind w:firstLine="567"/>
        <w:jc w:val="both"/>
      </w:pPr>
      <w:r w:rsidRPr="00B369EA">
        <w:t>График документооборота, помимо обычных элементов, должен включать документооборот, посредством которого оформляется передача законченных строительством объектов инвестору (или инвесторам), финансирующим строительство на условиях долевого участия.</w:t>
      </w:r>
    </w:p>
    <w:p w:rsidR="00443443" w:rsidRPr="00B369EA" w:rsidRDefault="00443443" w:rsidP="00443443">
      <w:pPr>
        <w:spacing w:before="120"/>
        <w:ind w:firstLine="567"/>
        <w:jc w:val="both"/>
      </w:pPr>
      <w:r w:rsidRPr="00B369EA">
        <w:t>В части учета производственных затрат.</w:t>
      </w:r>
    </w:p>
    <w:p w:rsidR="00443443" w:rsidRPr="00B369EA" w:rsidRDefault="00443443" w:rsidP="00443443">
      <w:pPr>
        <w:spacing w:before="120"/>
        <w:ind w:firstLine="567"/>
        <w:jc w:val="both"/>
      </w:pPr>
      <w:r w:rsidRPr="00B369EA">
        <w:t>Основной вид деятельности организаций-заказчиков - оказание соответствующих услуг, а доходом от реализации таких услуг является вознаграждение, уплачиваемое инвестором или удерживаемое из сумм поступившего финансирования. В учетной политике вопросы, регулирующие учет производственных затрат, следует решать, не забывая об этих особенностях.</w:t>
      </w:r>
    </w:p>
    <w:p w:rsidR="00443443" w:rsidRPr="00B369EA" w:rsidRDefault="00443443" w:rsidP="00443443">
      <w:pPr>
        <w:spacing w:before="120"/>
        <w:ind w:firstLine="567"/>
        <w:jc w:val="both"/>
      </w:pPr>
      <w:r w:rsidRPr="00B369EA">
        <w:t>Если организация, помимо участия в строительстве в качестве специализированного заказчика, осуществляет собственное строительство хозяйственным способом, то в учетной политике должен быть определен порядок распределения общехозяйственных расходов.</w:t>
      </w:r>
    </w:p>
    <w:p w:rsidR="00443443" w:rsidRPr="00B369EA" w:rsidRDefault="00443443" w:rsidP="00443443">
      <w:pPr>
        <w:spacing w:before="120"/>
        <w:ind w:firstLine="567"/>
        <w:jc w:val="both"/>
      </w:pPr>
      <w:r w:rsidRPr="00B369EA">
        <w:t>Если изготовление некоторых видов строительных материалов осуществляется в организации, то следует предусмотреть ведение счета 23 "Вспомогательные производства" (обособленного субсчета к счету 23), как это определено Планом счетов (Инструкцией по применению Плана счетов). В части учета денежных средств.</w:t>
      </w:r>
    </w:p>
    <w:p w:rsidR="00443443" w:rsidRPr="00B369EA" w:rsidRDefault="00443443" w:rsidP="00443443">
      <w:pPr>
        <w:spacing w:before="120"/>
        <w:ind w:firstLine="567"/>
        <w:jc w:val="both"/>
      </w:pPr>
      <w:r w:rsidRPr="00B369EA">
        <w:t>Необходимо отразить порядок учета средств целевого финансирования на расчетном счете (51 "Расчетные счета") или на отдельном счете, открываемом в составе специальных счетов, движение средств, на котором отражается на субсчете к счету 55 "Специальные счета в банках"; В части учета средств целевого финансирования.</w:t>
      </w:r>
    </w:p>
    <w:p w:rsidR="00443443" w:rsidRPr="00B369EA" w:rsidRDefault="00443443" w:rsidP="00443443">
      <w:pPr>
        <w:spacing w:before="120"/>
        <w:ind w:firstLine="567"/>
        <w:jc w:val="both"/>
      </w:pPr>
      <w:r w:rsidRPr="00B369EA">
        <w:t xml:space="preserve">В учетной политике необходимо предусмотреть порядок отражения в учете движения поступивших сумм, а также порядок формирования и предоставления отчетности об использовании поступивших средств. При формировании учетной политики в организации, выполняющей функции подрядной строительной организации, необходимо учесть следующие особенности: </w:t>
      </w:r>
    </w:p>
    <w:p w:rsidR="00443443" w:rsidRPr="00B369EA" w:rsidRDefault="00443443" w:rsidP="00443443">
      <w:pPr>
        <w:spacing w:before="120"/>
        <w:ind w:firstLine="567"/>
        <w:jc w:val="both"/>
      </w:pPr>
      <w:r w:rsidRPr="00B369EA">
        <w:t xml:space="preserve">в графике документооборота учесть особенности расчетов с заказчиками и субподрядчиками (генподрядчиками) по суммам полученных строительных материалов и оборудования к установке; </w:t>
      </w:r>
    </w:p>
    <w:p w:rsidR="00443443" w:rsidRPr="00B369EA" w:rsidRDefault="00443443" w:rsidP="00443443">
      <w:pPr>
        <w:spacing w:before="120"/>
        <w:ind w:firstLine="567"/>
        <w:jc w:val="both"/>
      </w:pPr>
      <w:r w:rsidRPr="00B369EA">
        <w:t xml:space="preserve">определить, используется ли счет 46 "Выполненные этапы по незавершенным работам", и с учетом этого факта скорректировать прочие элементы учетной политики организации; </w:t>
      </w:r>
    </w:p>
    <w:p w:rsidR="00443443" w:rsidRPr="00B369EA" w:rsidRDefault="00443443" w:rsidP="00443443">
      <w:pPr>
        <w:spacing w:before="120"/>
        <w:ind w:firstLine="567"/>
        <w:jc w:val="both"/>
      </w:pPr>
      <w:r w:rsidRPr="00B369EA">
        <w:t xml:space="preserve">организации-генподрядчику предусмотреть открытие к счету 60 "Расчеты с поставщиками и подрядчиками" отдельных субсчетов второго порядка для учета расчетов с заказчиками и субподрядчиками; </w:t>
      </w:r>
    </w:p>
    <w:p w:rsidR="00443443" w:rsidRPr="00B369EA" w:rsidRDefault="00443443" w:rsidP="00443443">
      <w:pPr>
        <w:spacing w:before="120"/>
        <w:ind w:firstLine="567"/>
        <w:jc w:val="both"/>
      </w:pPr>
      <w:r w:rsidRPr="00B369EA">
        <w:t xml:space="preserve">если строительно-монтажные работы оплачиваются посредством перечисления авансов, в составе которых учитываются не только денежные средства, но и материалы и суммы арендной платы за аренду зданий и сооружений, то к счету 60 "Расчеты с поставщиками и подрядчиками" необходимо открыть дополнительные субсчета второго порядка для учета авансов и третьего порядка для учета авансов по видам; </w:t>
      </w:r>
    </w:p>
    <w:p w:rsidR="00443443" w:rsidRPr="00B369EA" w:rsidRDefault="00443443" w:rsidP="00443443">
      <w:pPr>
        <w:spacing w:before="120"/>
        <w:ind w:firstLine="567"/>
        <w:jc w:val="both"/>
      </w:pPr>
      <w:r w:rsidRPr="00B369EA">
        <w:t xml:space="preserve">при необходимости организовать учет продаж (счет 90 "Продажи") и финансовых результатов (счет 99 "Прибыли и убытки") по видам поступлений в зависимости от выбранного метода определения финансового результата. При этом следует учитывать не только нормы Положения по ведению бухгалтерского учета и отчетности в Российской Федерации, но и требования ПБУ 2/94 утвержденного Приказом Минфина России от 20 декабря 1994 года №167 "Об утверждении Положения по бухгалтерскому учету "Учет договоров (контрактов) на капитальное строительство" ПБУ 2/94".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443"/>
    <w:rsid w:val="00443443"/>
    <w:rsid w:val="00462361"/>
    <w:rsid w:val="00616072"/>
    <w:rsid w:val="006F4BF0"/>
    <w:rsid w:val="008B35EE"/>
    <w:rsid w:val="00B369EA"/>
    <w:rsid w:val="00B42C45"/>
    <w:rsid w:val="00B47B6A"/>
    <w:rsid w:val="00F60A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1138C8-039B-4FB8-9AF9-B605751D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44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43443"/>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2631</Characters>
  <Application>Microsoft Office Word</Application>
  <DocSecurity>0</DocSecurity>
  <Lines>21</Lines>
  <Paragraphs>14</Paragraphs>
  <ScaleCrop>false</ScaleCrop>
  <Company>Home</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формирования учетной политики строительной организации</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