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C0" w:rsidRDefault="001B5ED3">
      <w:pPr>
        <w:pStyle w:val="1"/>
        <w:jc w:val="center"/>
      </w:pPr>
      <w:r>
        <w:t>Проблемы инновационного развития Иркутской области</w:t>
      </w:r>
    </w:p>
    <w:p w:rsidR="00CE2DC0" w:rsidRPr="001B5ED3" w:rsidRDefault="001B5ED3">
      <w:pPr>
        <w:pStyle w:val="a3"/>
      </w:pPr>
      <w:r>
        <w:t> </w:t>
      </w:r>
    </w:p>
    <w:p w:rsidR="00CE2DC0" w:rsidRDefault="001B5ED3">
      <w:pPr>
        <w:pStyle w:val="a3"/>
      </w:pPr>
      <w:r>
        <w:t>Е.А. Федорова</w:t>
      </w:r>
    </w:p>
    <w:p w:rsidR="00CE2DC0" w:rsidRDefault="001B5ED3">
      <w:pPr>
        <w:pStyle w:val="a3"/>
      </w:pPr>
      <w:r>
        <w:t>Национальный исследовательский Иркутский государственный технический университет</w:t>
      </w:r>
    </w:p>
    <w:p w:rsidR="00CE2DC0" w:rsidRDefault="001B5ED3">
      <w:pPr>
        <w:pStyle w:val="a3"/>
      </w:pPr>
      <w:r>
        <w:t>Инновация – это нововведение в области техники, технологии, организации труда или управления, основанное на использовании достижений науки и передового опыта, обеспечивающее качественное повышение эффективности производственной системы или качества продукции</w:t>
      </w:r>
    </w:p>
    <w:p w:rsidR="00CE2DC0" w:rsidRDefault="001B5ED3">
      <w:pPr>
        <w:pStyle w:val="a3"/>
      </w:pPr>
      <w:r>
        <w:t>Вся действующая сегодня инфраструктура инновационной экономики: наукограды, закрытые административно-территориальные образования – это местное самоуправление.</w:t>
      </w:r>
    </w:p>
    <w:p w:rsidR="00CE2DC0" w:rsidRDefault="001B5ED3">
      <w:pPr>
        <w:pStyle w:val="a3"/>
      </w:pPr>
      <w:r>
        <w:t>Мировой экономический кризис 2008-2009 года осложнил реализацию поставленных целей, привёл к сокращению расходов частного бизнеса на инновации и обострил слабости структуры российской инновационной системы.</w:t>
      </w:r>
    </w:p>
    <w:p w:rsidR="00CE2DC0" w:rsidRDefault="001B5ED3">
      <w:pPr>
        <w:pStyle w:val="a3"/>
      </w:pPr>
      <w:r>
        <w:t>Решение задач посткризисного восстановления, ускорения перехода на инновационный путь развития будет проходить в условиях воздействия на Россию ряда внешних и внутренних вызовов, с одной стороны осложняющих достижение поставленных целей, с другой – диктующих необходимость ещё большей интенсификации усилий по решению накопленных в российской экономике и инновационной системе проблем. Ключевыми из таких внешних вызовов в части инновационного развития являются социально-экономические проблемы.</w:t>
      </w:r>
    </w:p>
    <w:p w:rsidR="00CE2DC0" w:rsidRDefault="001B5ED3">
      <w:pPr>
        <w:pStyle w:val="a3"/>
      </w:pPr>
      <w:r>
        <w:t>Инновационные проекты на службе муниципалитета – этот сюжет пока очень редок. В Иркутске только 3-5 % средних и малых предприятий, использующих в своей работе научные разработки. Муниципальный же заказ на наукоёмкие и инновационные услуги пока носит характер разовой благотворительности. Экономия на собственных наукоёмких решениях через несколько лет обернётся серьёзными тратами на покупку инновационных продуктов за пределами региона.</w:t>
      </w:r>
    </w:p>
    <w:p w:rsidR="00CE2DC0" w:rsidRDefault="001B5ED3">
      <w:pPr>
        <w:pStyle w:val="a3"/>
      </w:pPr>
      <w:r>
        <w:t>Заявить, что у Иркутска нет опыта внедрения инновационных продуктов, нельзя. В городской думе работает информационно-аналитическая система документооборота, разработанная учёными Института динамики систем и теории управления СО РАН. Сейчас мэрия готовится к реализации крупного инновационного проекта совместно с ботаническим садом Иркутского госуниверситета по восстановлению Кайской реликтовой рощи. Но пока подобные проекты носят эпизодический характер, чего не скрывают и сами чиновники.</w:t>
      </w:r>
    </w:p>
    <w:p w:rsidR="00CE2DC0" w:rsidRDefault="001B5ED3">
      <w:pPr>
        <w:pStyle w:val="a3"/>
      </w:pPr>
      <w:r>
        <w:t>Сейчас рассматривается проект создания завода автопогрузчиков, коммерческая структура уже готова начать их серийный выпуск. Это предложение особенно актуально ввиду того, что одним из стратегических приоритетов развития Иркутска, сформулированных в концепции социально-экономического развития города до 2020 года, является позиционирование Иркутска как крупного транспортно-логистического центра Восточной Сибири.</w:t>
      </w:r>
    </w:p>
    <w:p w:rsidR="00CE2DC0" w:rsidRDefault="001B5ED3">
      <w:pPr>
        <w:pStyle w:val="a3"/>
      </w:pPr>
      <w:r>
        <w:t>На сегодня в Иркутске около 7 тыс. малых и средних предприятий. От 47 до 50 % общей массы составляют торговля и общепит, 10-13 % – жилищно-коммунальная сфера и строительство. Подсчёт предприятий инновационной направленности в городской администрации не проводился. По предварительным подсчётам этим видом бизнеса в Иркутске занимаются 3-5 % предприятий малого и среднего бизнеса.</w:t>
      </w:r>
    </w:p>
    <w:p w:rsidR="00CE2DC0" w:rsidRDefault="001B5ED3">
      <w:pPr>
        <w:pStyle w:val="a3"/>
      </w:pPr>
      <w:r>
        <w:t>Несколько скорректировать ситуацию может грамотная муниципальная политика в области инноваций. Сегодня интересы науки и городских властей совпадают реже, чем хотелось бы. Специфика городского хозяйства такова, что научно-исследовательскому институту сложно представить «адресную» разработку (отвечающую на ту или иную городскую проблему). Проект должен быть направлен на решение проблем социально-экономического развития Иркутска.</w:t>
      </w:r>
    </w:p>
    <w:p w:rsidR="00CE2DC0" w:rsidRDefault="001B5ED3">
      <w:pPr>
        <w:pStyle w:val="a3"/>
      </w:pPr>
      <w:r>
        <w:t>Учёные заявляют, что проблема «несовпадения интересов» науки и города решается просто – формированием долгосрочной системы муниципальных заказов. Мэрия готова рассматривать все поступающие предложения, не нужно сидеть и ждать, когда администрация сама обратится за разработкой, движение должно идти с двух сторон.</w:t>
      </w:r>
    </w:p>
    <w:p w:rsidR="00CE2DC0" w:rsidRDefault="001B5ED3">
      <w:pPr>
        <w:pStyle w:val="a3"/>
      </w:pPr>
      <w:r>
        <w:t>Потребность в венчурных инвестициях в областном центре и области в целом существует. Тех средств, что предусмотрены в бюджете региона на финансирование разработок в рамках конкурса инновационных проектов (менее 10 млн рублей), крайне недостаточно. Сейчас разработан бизнес-план и методические рекомендации создания в Иркутской области регионального венчурного фонда с государственным участием. Предполагается, что будет обсуждена возможность финансовых вложений в этот проект и города Иркутск. Городские чиновники пока весьма осторожно отзываются о проекте. Насколько эффективна будет идея венчурного фонда, покажет время. К сожалению, возможности муниципалитета в решении этого вопроса весьма ограничены.</w:t>
      </w:r>
    </w:p>
    <w:p w:rsidR="00CE2DC0" w:rsidRDefault="001B5ED3">
      <w:pPr>
        <w:pStyle w:val="a3"/>
      </w:pPr>
      <w:r>
        <w:t>Спрос крупных предприятий на «сырые» инновации местного производства очень низкий. Предприятия не хотят вкладываться в разработки, которые не приносят моментальной прибыли и требуют инвестиций в дополнительные промышленные испытания. Крупный бизнес не готов вкладываться в долгие разработки. Намного проще купить готовую разработку, пусть и зарубежную. Но при этом нужно помнить, что никто не будет продавать нам передовые технологии. Только устаревшие или сходящие на нет. Это означает, что крупные предприятия заранее обрекают себя на отставание.</w:t>
      </w:r>
    </w:p>
    <w:p w:rsidR="00CE2DC0" w:rsidRDefault="001B5ED3">
      <w:pPr>
        <w:pStyle w:val="a3"/>
      </w:pPr>
      <w:r>
        <w:t>В 2011 году в бюджете Иркутской области выделено 14,2 млн рублей на инновации. Это в три с лишним раза меньше, чем в Новосибирской области, почти в девять раз – чем в Красноярском крае. Иркутск на инновационной карте России выглядит весьма средне. К примеру, в Калуге доля инноваций в расходах бюджета составляет 0,25 %, в Омске – 0,1 %, в Иркутске всего 0,016 %.</w:t>
      </w:r>
    </w:p>
    <w:p w:rsidR="00CE2DC0" w:rsidRDefault="001B5ED3">
      <w:pPr>
        <w:pStyle w:val="a3"/>
      </w:pPr>
      <w:r>
        <w:t>Столица Приангарья сейчас имеет свою программу развития инновационной деятельности, рассчитанную с 2009 по 2012 гг. Общий бюджет городской программы вместе с внебюджетными источниками составил 19,4 млн рублей на четыре года. Это примерно по 4,8 млн рублей в год (около трети от областных ежегодных вложений). Около 2,5 млн рублей за два года были отданы шести инновационным компаниям на развитие бизнеса. Из них 680 тысяч рублей частных, остальные – города. Около 1,6 млн рублей ушли на субсидирование организаций, которые занимаются формированием инновационной инфраструктуры. Однако мониторинг инновационного потенциала города и анализ основных проблем развития города позволяют сказать: в целом эффективность программы в нынешнем варианте недостаточна. Меняются условия, и теперь этого мало. В области целевой программы развития инноваций и вовсе нет.</w:t>
      </w:r>
    </w:p>
    <w:p w:rsidR="00CE2DC0" w:rsidRDefault="001B5ED3">
      <w:pPr>
        <w:pStyle w:val="a3"/>
      </w:pPr>
      <w:r>
        <w:t>Для обеспечения устойчивого прогресса в переходе экономики на инновационный путь развития важно учитывать сочетание следующих направлений инновационного развития секторов региональной экономики:</w:t>
      </w:r>
    </w:p>
    <w:p w:rsidR="00CE2DC0" w:rsidRDefault="001B5ED3">
      <w:pPr>
        <w:pStyle w:val="a3"/>
      </w:pPr>
      <w:r>
        <w:t> повышение конкурентоспособности и экспортного потенциала высокотехнологичных секторов экономики на основе разработки и внедрения передовых технологий;</w:t>
      </w:r>
    </w:p>
    <w:p w:rsidR="00CE2DC0" w:rsidRDefault="001B5ED3">
      <w:pPr>
        <w:pStyle w:val="a3"/>
      </w:pPr>
      <w:r>
        <w:t> разработка совокупности «прорывных» технологий, определяющих возможность формирования новых рынков высокотехнологичной продукции (услуг), развития новых индустрий, модернизации широкого круга секторов экономики;</w:t>
      </w:r>
    </w:p>
    <w:p w:rsidR="00CE2DC0" w:rsidRDefault="001B5ED3">
      <w:pPr>
        <w:pStyle w:val="a3"/>
      </w:pPr>
      <w:r>
        <w:t> быстрое распространение отдельных современных технологий в секторах с горизонтальной организацией;</w:t>
      </w:r>
    </w:p>
    <w:p w:rsidR="00CE2DC0" w:rsidRDefault="001B5ED3">
      <w:pPr>
        <w:pStyle w:val="a3"/>
      </w:pPr>
      <w:r>
        <w:t> технологическая модернизация публичного сектора и инфраструктурных секторов, расширение спектра новых и качественных публичных услуг;</w:t>
      </w:r>
    </w:p>
    <w:p w:rsidR="00CE2DC0" w:rsidRDefault="001B5ED3">
      <w:pPr>
        <w:pStyle w:val="a3"/>
      </w:pPr>
      <w:r>
        <w:t> повышение эффективности, снижение ресурсоемкости, расширение переделов в сырьевых отраслях.</w:t>
      </w:r>
    </w:p>
    <w:p w:rsidR="00CE2DC0" w:rsidRDefault="001B5ED3">
      <w:pPr>
        <w:pStyle w:val="a3"/>
      </w:pPr>
      <w:r>
        <w:t>Как результат, в перспективе Иркутский регион может достичь 5-10 % доли на рынках высокотехнологичных товаров и интеллектуальных услуг по 8-10 позициям, включая авиастроение; программное обеспечение; вооружение; образовательные услуги.</w:t>
      </w:r>
    </w:p>
    <w:p w:rsidR="00CE2DC0" w:rsidRDefault="001B5ED3">
      <w:pPr>
        <w:pStyle w:val="a3"/>
      </w:pPr>
      <w:r>
        <w:t>Важной предпосылкой повышения инновационной активности экономики является активизация деятельности по реализации инновационной политики, осуществляемой органами исполнительной власти субъектов Российской Федерации и крупнейших городских округов.</w:t>
      </w:r>
    </w:p>
    <w:p w:rsidR="00CE2DC0" w:rsidRDefault="001B5ED3">
      <w:pPr>
        <w:pStyle w:val="a3"/>
      </w:pPr>
      <w:r>
        <w:t>В качестве основных инструментов реализации политики инновационного развития на региональном уровне необходимы следующие меры:</w:t>
      </w:r>
    </w:p>
    <w:p w:rsidR="00CE2DC0" w:rsidRDefault="001B5ED3">
      <w:pPr>
        <w:pStyle w:val="a3"/>
      </w:pPr>
      <w:r>
        <w:t>- регулярная разработка и реализация программ развития конкуренции субъектов РФ;</w:t>
      </w:r>
    </w:p>
    <w:p w:rsidR="00CE2DC0" w:rsidRDefault="001B5ED3">
      <w:pPr>
        <w:pStyle w:val="a3"/>
      </w:pPr>
      <w:r>
        <w:t>- предоставление субсидий организациям малого и среднего бизнеса на цели активизации инновационной деятельности, в т.ч. оплату прикладных НИОКР, инжиниринговых услуг, проведение маркетинговых исследований, патентования, сертификации выпускаемой продукции, выхода на внешние рынки, субсидирование процентных ставок по кредитам через региональные программы поддержки малого бизнеса.</w:t>
      </w:r>
    </w:p>
    <w:p w:rsidR="00CE2DC0" w:rsidRDefault="001B5ED3">
      <w:pPr>
        <w:pStyle w:val="a3"/>
      </w:pPr>
      <w:r>
        <w:t>- предоставление финансовой и имущественной поддержки созданию и развитию объектов инновационной инфраструктуры, включая бизнес-инкубаторы, технопарки, центры трансфера технологий, инновационно-технологические центры, центры коллективного пользования оборудованием, региональные венчурные фонды, технологические музеи, ориентированные на молодёжь и стимулирующие интерес к техническому образованию;</w:t>
      </w:r>
    </w:p>
    <w:p w:rsidR="00CE2DC0" w:rsidRDefault="001B5ED3">
      <w:pPr>
        <w:pStyle w:val="a3"/>
      </w:pPr>
      <w:r>
        <w:t>- стимулирование производства инновационной продукции в рамках закупок товаров и услуг для государственных и муниципальных нужд;</w:t>
      </w:r>
    </w:p>
    <w:p w:rsidR="00CE2DC0" w:rsidRDefault="001B5ED3">
      <w:pPr>
        <w:pStyle w:val="a3"/>
      </w:pPr>
      <w:r>
        <w:t>- предоставление льгот по налогу на прибыль организаций и налогу на недвижимое имущество организаций;</w:t>
      </w:r>
    </w:p>
    <w:p w:rsidR="00CE2DC0" w:rsidRDefault="001B5ED3">
      <w:pPr>
        <w:pStyle w:val="a3"/>
      </w:pPr>
      <w:r>
        <w:t>- поддержка образовательных программ дополнительного образования, обеспечивающих развитие кадрового потенциала инновационной деятельности;</w:t>
      </w:r>
    </w:p>
    <w:p w:rsidR="00CE2DC0" w:rsidRDefault="001B5ED3">
      <w:pPr>
        <w:pStyle w:val="a3"/>
      </w:pPr>
      <w:r>
        <w:t>- поддержка внешнеэкономической деятельности, включая привлечение прямых иностранных инвестиций</w:t>
      </w:r>
    </w:p>
    <w:p w:rsidR="00CE2DC0" w:rsidRDefault="001B5ED3">
      <w:pPr>
        <w:pStyle w:val="a3"/>
      </w:pPr>
      <w:r>
        <w:t>- содействие формированию культуры инноваций в обществе и повышению престижа инновационной деятельности.</w:t>
      </w:r>
    </w:p>
    <w:p w:rsidR="00CE2DC0" w:rsidRDefault="001B5ED3">
      <w:pPr>
        <w:pStyle w:val="a3"/>
      </w:pPr>
      <w:r>
        <w:t>Дополнительным элементом координации региональной деятельности в области поддержки и стимулирования инновационной активности должны стать стратегии социально-экономического развития.</w:t>
      </w:r>
    </w:p>
    <w:p w:rsidR="00CE2DC0" w:rsidRDefault="001B5ED3">
      <w:pPr>
        <w:pStyle w:val="a3"/>
      </w:pPr>
      <w:r>
        <w:t>Помимо финансовой и организационной поддержки регионов, как на начальном этапе создания инфраструктуры, так и на этапе формирования центров инновационного роста предполагается учитывать показатели инновационной активности региона в числе показателей для оценки эффективности деятельности органов исполнительной власти субъектов РФ.</w:t>
      </w:r>
    </w:p>
    <w:p w:rsidR="00CE2DC0" w:rsidRDefault="001B5ED3">
      <w:pPr>
        <w:pStyle w:val="a3"/>
      </w:pPr>
      <w:r>
        <w:t>Список литературы</w:t>
      </w:r>
    </w:p>
    <w:p w:rsidR="00CE2DC0" w:rsidRDefault="001B5ED3">
      <w:pPr>
        <w:pStyle w:val="a3"/>
      </w:pPr>
      <w:r>
        <w:t>Ерофеев Б.В. Инновационные перспективы России. М.: Изд-во МЭП, 2006. 154 с.</w:t>
      </w:r>
    </w:p>
    <w:p w:rsidR="00CE2DC0" w:rsidRDefault="001B5ED3">
      <w:pPr>
        <w:pStyle w:val="a3"/>
      </w:pPr>
      <w:r>
        <w:t>Семенов А.С., Каширин А.И. Проблема современного этапа инновационного развития России // Инновации 2008. № 9.</w:t>
      </w:r>
    </w:p>
    <w:p w:rsidR="00CE2DC0" w:rsidRDefault="001B5ED3">
      <w:pPr>
        <w:pStyle w:val="a3"/>
      </w:pPr>
      <w:r>
        <w:t>Переломова Ю.В. Вал без плана // Восточно сибирская правда. 2011. № 8.</w:t>
      </w:r>
    </w:p>
    <w:p w:rsidR="00CE2DC0" w:rsidRDefault="001B5ED3">
      <w:pPr>
        <w:pStyle w:val="a3"/>
      </w:pPr>
      <w:r>
        <w:t>Турмаева Г.С. Инновационная Россия – 2020 // Инновации 2010. № 10.</w:t>
      </w:r>
      <w:bookmarkStart w:id="0" w:name="_GoBack"/>
      <w:bookmarkEnd w:id="0"/>
    </w:p>
    <w:sectPr w:rsidR="00CE2D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ED3"/>
    <w:rsid w:val="001B5ED3"/>
    <w:rsid w:val="00CE2DC0"/>
    <w:rsid w:val="00EB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A853C-EC28-4065-95F5-34BC4FE5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1492</Words>
  <Characters>8506</Characters>
  <Application>Microsoft Office Word</Application>
  <DocSecurity>0</DocSecurity>
  <Lines>70</Lines>
  <Paragraphs>19</Paragraphs>
  <ScaleCrop>false</ScaleCrop>
  <Company>diakov.net</Company>
  <LinksUpToDate>false</LinksUpToDate>
  <CharactersWithSpaces>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инновационного развития Иркутской области</dc:title>
  <dc:subject/>
  <dc:creator>Irina</dc:creator>
  <cp:keywords/>
  <dc:description/>
  <cp:lastModifiedBy>Irina</cp:lastModifiedBy>
  <cp:revision>2</cp:revision>
  <dcterms:created xsi:type="dcterms:W3CDTF">2014-08-02T19:58:00Z</dcterms:created>
  <dcterms:modified xsi:type="dcterms:W3CDTF">2014-08-02T19:58:00Z</dcterms:modified>
</cp:coreProperties>
</file>