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81" w:rsidRDefault="00437520">
      <w:pPr>
        <w:pStyle w:val="a5"/>
      </w:pPr>
      <w:r>
        <w:t>Физический мутагенез</w:t>
      </w:r>
    </w:p>
    <w:p w:rsidR="007C0681" w:rsidRDefault="007C0681"/>
    <w:p w:rsidR="007C0681" w:rsidRDefault="00437520">
      <w:pPr>
        <w:pStyle w:val="20"/>
        <w:jc w:val="both"/>
      </w:pPr>
      <w:r>
        <w:rPr>
          <w:b/>
          <w:u w:val="single"/>
        </w:rPr>
        <w:t>Физическими мутагенами</w:t>
      </w:r>
      <w:r>
        <w:t xml:space="preserve"> называются любые физические воздействия на живые организмы, которые оказывают либо прямое влияние на ДНК или вирусную РНК, либо опосредованное влияние через системы репликации, репарации, рекомбинации.</w:t>
      </w:r>
    </w:p>
    <w:p w:rsidR="007C0681" w:rsidRDefault="00437520">
      <w:pPr>
        <w:pStyle w:val="20"/>
      </w:pPr>
      <w:r>
        <w:t xml:space="preserve">В случае прямого влияния на ДНК основную роль играют два таких параметра, как </w:t>
      </w:r>
      <w:r>
        <w:rPr>
          <w:i/>
          <w:u w:val="single"/>
        </w:rPr>
        <w:t>величина энергии</w:t>
      </w:r>
      <w:r>
        <w:t xml:space="preserve"> воздействующей частицы и </w:t>
      </w:r>
      <w:r>
        <w:rPr>
          <w:i/>
          <w:u w:val="single"/>
        </w:rPr>
        <w:t>способность биологического материала поглощать</w:t>
      </w:r>
      <w:r>
        <w:t xml:space="preserve"> эту энергию.</w:t>
      </w:r>
    </w:p>
    <w:p w:rsidR="007C0681" w:rsidRDefault="00437520">
      <w:pPr>
        <w:pStyle w:val="20"/>
        <w:jc w:val="both"/>
      </w:pPr>
      <w:r>
        <w:t xml:space="preserve">Величина энергии убывает в ряду: </w:t>
      </w:r>
    </w:p>
    <w:p w:rsidR="007C0681" w:rsidRDefault="00437520">
      <w:pPr>
        <w:pStyle w:val="20"/>
        <w:jc w:val="both"/>
      </w:pPr>
      <w:r>
        <w:t xml:space="preserve">космические лучи, </w:t>
      </w:r>
    </w:p>
    <w:p w:rsidR="007C0681" w:rsidRDefault="00437520">
      <w:pPr>
        <w:pStyle w:val="20"/>
        <w:jc w:val="both"/>
      </w:pPr>
      <w:r>
        <w:sym w:font="Symbol" w:char="F067"/>
      </w:r>
      <w:r>
        <w:t xml:space="preserve">-лучи, </w:t>
      </w:r>
    </w:p>
    <w:p w:rsidR="007C0681" w:rsidRDefault="00437520">
      <w:pPr>
        <w:pStyle w:val="20"/>
        <w:jc w:val="both"/>
      </w:pPr>
      <w:r>
        <w:t xml:space="preserve">рентгеновские лучи, </w:t>
      </w:r>
    </w:p>
    <w:p w:rsidR="007C0681" w:rsidRDefault="00437520">
      <w:pPr>
        <w:pStyle w:val="20"/>
        <w:jc w:val="both"/>
      </w:pPr>
      <w:r>
        <w:sym w:font="Symbol" w:char="F062"/>
      </w:r>
      <w:r>
        <w:t xml:space="preserve">-лучи, </w:t>
      </w:r>
    </w:p>
    <w:p w:rsidR="007C0681" w:rsidRDefault="00437520">
      <w:pPr>
        <w:pStyle w:val="20"/>
        <w:jc w:val="both"/>
      </w:pPr>
      <w:r>
        <w:sym w:font="Symbol" w:char="F061"/>
      </w:r>
      <w:r>
        <w:t xml:space="preserve">-лучу, </w:t>
      </w:r>
    </w:p>
    <w:p w:rsidR="007C0681" w:rsidRDefault="00437520">
      <w:pPr>
        <w:pStyle w:val="20"/>
        <w:jc w:val="both"/>
      </w:pPr>
      <w:r>
        <w:t xml:space="preserve">УФ-лучи, </w:t>
      </w:r>
    </w:p>
    <w:p w:rsidR="007C0681" w:rsidRDefault="00437520">
      <w:pPr>
        <w:pStyle w:val="20"/>
        <w:jc w:val="both"/>
      </w:pPr>
      <w:r>
        <w:t xml:space="preserve">видимый свет, </w:t>
      </w:r>
    </w:p>
    <w:p w:rsidR="007C0681" w:rsidRDefault="00F7602D">
      <w:pPr>
        <w:pStyle w:val="20"/>
        <w:jc w:val="both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59.75pt;margin-top:2.85pt;width:21.6pt;height:50.4pt;z-index:251660800;mso-position-horizontal:absolute;mso-position-horizontal-relative:text;mso-position-vertical:absolute;mso-position-vertical-relative:text" o:allowincell="f"/>
        </w:pict>
      </w:r>
      <w:r w:rsidR="00437520">
        <w:t xml:space="preserve">инфракрасные лучи, </w:t>
      </w:r>
    </w:p>
    <w:p w:rsidR="007C0681" w:rsidRDefault="00437520">
      <w:pPr>
        <w:pStyle w:val="20"/>
        <w:jc w:val="both"/>
      </w:pPr>
      <w:r>
        <w:t>микроволны,                           ДНК прямо не повреждают</w:t>
      </w:r>
    </w:p>
    <w:p w:rsidR="007C0681" w:rsidRDefault="00437520">
      <w:pPr>
        <w:pStyle w:val="20"/>
        <w:jc w:val="both"/>
      </w:pPr>
      <w:r>
        <w:t xml:space="preserve">радиоволны. </w:t>
      </w:r>
    </w:p>
    <w:p w:rsidR="007C0681" w:rsidRDefault="00437520">
      <w:pPr>
        <w:pStyle w:val="20"/>
        <w:jc w:val="both"/>
      </w:pPr>
      <w:r>
        <w:t xml:space="preserve">Повреждения ДНК могут быть двух типов: </w:t>
      </w:r>
      <w:r>
        <w:rPr>
          <w:u w:val="single"/>
        </w:rPr>
        <w:t>двунитевые</w:t>
      </w:r>
      <w:r>
        <w:t xml:space="preserve"> и </w:t>
      </w:r>
      <w:r>
        <w:rPr>
          <w:u w:val="single"/>
        </w:rPr>
        <w:t>однонитевые</w:t>
      </w:r>
      <w:r>
        <w:t xml:space="preserve"> разрывы (при очень высокой энергии фотона – космическоие лучи, рентгеновские и </w:t>
      </w:r>
      <w:r>
        <w:sym w:font="Symbol" w:char="F067"/>
      </w:r>
      <w:r>
        <w:t>-лучи).</w:t>
      </w:r>
    </w:p>
    <w:p w:rsidR="007C0681" w:rsidRDefault="00437520">
      <w:pPr>
        <w:pStyle w:val="20"/>
        <w:jc w:val="both"/>
      </w:pPr>
      <w:r>
        <w:t xml:space="preserve">Ультрафиолет способен индуцировать образование неспецифических двойных связей С=С. Рентгеновские и </w:t>
      </w:r>
      <w:r>
        <w:sym w:font="Symbol" w:char="F067"/>
      </w:r>
      <w:r>
        <w:t>-лучи способны разрывать С–</w:t>
      </w:r>
      <w:r>
        <w:rPr>
          <w:lang w:val="en-US"/>
        </w:rPr>
        <w:t xml:space="preserve">N, C–C, C–H, C=O </w:t>
      </w:r>
      <w:r>
        <w:t xml:space="preserve">(образуются перекиси). Они проникают через живые ткани, ионизируют вещества в живых тканях (ионизирующая радиация). УФ и </w:t>
      </w:r>
      <w:r>
        <w:sym w:font="Symbol" w:char="F067"/>
      </w:r>
      <w:r>
        <w:t xml:space="preserve">-излучение приводит к образованию фотоаддуктов за счет комптоновских электронов. УФ-излучение, от отличие от </w:t>
      </w:r>
      <w:r>
        <w:sym w:font="Symbol" w:char="F067"/>
      </w:r>
      <w:r>
        <w:t xml:space="preserve">-излучения, не проникает ни через бумагу, ни через кожу. </w:t>
      </w:r>
    </w:p>
    <w:p w:rsidR="007C0681" w:rsidRDefault="007C0681">
      <w:pPr>
        <w:pStyle w:val="20"/>
        <w:jc w:val="both"/>
      </w:pPr>
    </w:p>
    <w:p w:rsidR="007C0681" w:rsidRDefault="00437520">
      <w:pPr>
        <w:pStyle w:val="20"/>
        <w:ind w:firstLine="0"/>
        <w:jc w:val="center"/>
      </w:pPr>
      <w:r>
        <w:t>––––260–––––––––––––––280––––––––––––––330–––––––––––––––400–––– нм</w:t>
      </w:r>
    </w:p>
    <w:p w:rsidR="007C0681" w:rsidRDefault="007C0681">
      <w:pPr>
        <w:pStyle w:val="20"/>
        <w:ind w:firstLine="0"/>
        <w:jc w:val="both"/>
      </w:pPr>
    </w:p>
    <w:p w:rsidR="007C0681" w:rsidRDefault="00437520">
      <w:pPr>
        <w:pStyle w:val="20"/>
        <w:numPr>
          <w:ilvl w:val="0"/>
          <w:numId w:val="4"/>
        </w:numPr>
        <w:jc w:val="both"/>
      </w:pPr>
      <w:r>
        <w:t>260-280 – зона поглощения для ДНК, РНК и белков (избирательное поглощение:  260 нм – ДНК, 280 нм – белки)</w:t>
      </w:r>
    </w:p>
    <w:p w:rsidR="007C0681" w:rsidRDefault="00437520">
      <w:pPr>
        <w:pStyle w:val="20"/>
        <w:numPr>
          <w:ilvl w:val="0"/>
          <w:numId w:val="4"/>
        </w:numPr>
        <w:jc w:val="both"/>
      </w:pPr>
      <w:r>
        <w:t>280-330 – зона поглощения для липидов с ненасыщенными связями (С=С)</w:t>
      </w:r>
    </w:p>
    <w:p w:rsidR="007C0681" w:rsidRDefault="00437520">
      <w:pPr>
        <w:pStyle w:val="20"/>
        <w:numPr>
          <w:ilvl w:val="0"/>
          <w:numId w:val="4"/>
        </w:numPr>
        <w:jc w:val="both"/>
      </w:pPr>
      <w:r>
        <w:t>330-400 – зона поглощения для стероидов</w:t>
      </w:r>
    </w:p>
    <w:p w:rsidR="007C0681" w:rsidRDefault="00437520">
      <w:pPr>
        <w:rPr>
          <w:lang w:val="en-US"/>
        </w:rPr>
      </w:pPr>
      <w:r>
        <w:rPr>
          <w:lang w:val="en-US"/>
        </w:rPr>
        <w:t xml:space="preserve"> </w:t>
      </w:r>
    </w:p>
    <w:p w:rsidR="007C0681" w:rsidRDefault="00437520">
      <w:pPr>
        <w:pStyle w:val="1"/>
      </w:pPr>
      <w:r>
        <w:t>Законы фотохимии</w:t>
      </w:r>
    </w:p>
    <w:p w:rsidR="007C0681" w:rsidRDefault="00437520">
      <w:pPr>
        <w:numPr>
          <w:ilvl w:val="0"/>
          <w:numId w:val="6"/>
        </w:numPr>
        <w:tabs>
          <w:tab w:val="clear" w:pos="360"/>
          <w:tab w:val="num" w:pos="851"/>
        </w:tabs>
        <w:ind w:left="851"/>
      </w:pPr>
      <w:r>
        <w:t>Действует лишь тот фотон, который поглощен.</w:t>
      </w:r>
    </w:p>
    <w:p w:rsidR="007C0681" w:rsidRDefault="00437520">
      <w:pPr>
        <w:numPr>
          <w:ilvl w:val="0"/>
          <w:numId w:val="6"/>
        </w:numPr>
        <w:tabs>
          <w:tab w:val="clear" w:pos="360"/>
          <w:tab w:val="num" w:pos="851"/>
        </w:tabs>
        <w:ind w:left="851"/>
      </w:pPr>
      <w:r>
        <w:t>Повреждение – результат действия одного фотона.</w:t>
      </w:r>
    </w:p>
    <w:p w:rsidR="007C0681" w:rsidRDefault="00437520">
      <w:pPr>
        <w:pStyle w:val="3"/>
      </w:pPr>
      <w:r>
        <w:t>Для оценки повреждения необходимо подсчитать количество моль образующихся фотопродуктов на один Эйнштейн поглощенной энергии.</w:t>
      </w:r>
    </w:p>
    <w:p w:rsidR="007C0681" w:rsidRDefault="00437520">
      <w:pPr>
        <w:ind w:firstLine="709"/>
        <w:jc w:val="both"/>
      </w:pPr>
      <w:r>
        <w:t>Для нахождения повреждения необходимо подсчитать квантовый выход.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227"/>
        <w:gridCol w:w="6627"/>
      </w:tblGrid>
      <w:tr w:rsidR="007C0681">
        <w:tc>
          <w:tcPr>
            <w:tcW w:w="3227" w:type="dxa"/>
          </w:tcPr>
          <w:p w:rsidR="007C0681" w:rsidRDefault="00437520">
            <w:pPr>
              <w:ind w:firstLine="709"/>
              <w:jc w:val="both"/>
              <w:rPr>
                <w:i/>
                <w:sz w:val="36"/>
                <w:lang w:val="en-US"/>
              </w:rPr>
            </w:pPr>
            <w:r>
              <w:rPr>
                <w:i/>
                <w:position w:val="-24"/>
                <w:sz w:val="20"/>
                <w:lang w:val="en-US"/>
              </w:rPr>
              <w:object w:dxaOrig="11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30.75pt" o:ole="" fillcolor="window">
                  <v:imagedata r:id="rId5" o:title=""/>
                </v:shape>
                <o:OLEObject Type="Embed" ProgID="Equation.3" ShapeID="_x0000_i1025" DrawAspect="Content" ObjectID="_1467228414" r:id="rId6"/>
              </w:object>
            </w:r>
            <w:r>
              <w:rPr>
                <w:i/>
                <w:sz w:val="36"/>
                <w:lang w:val="en-US"/>
              </w:rPr>
              <w:t xml:space="preserve">   </w:t>
            </w:r>
            <w:r>
              <w:rPr>
                <w:i/>
                <w:lang w:val="en-US"/>
              </w:rPr>
              <w:t>(*)</w:t>
            </w:r>
          </w:p>
          <w:p w:rsidR="007C0681" w:rsidRDefault="00437520">
            <w:pPr>
              <w:ind w:firstLine="709"/>
              <w:jc w:val="both"/>
              <w:rPr>
                <w:sz w:val="36"/>
              </w:rPr>
            </w:pPr>
            <w:r>
              <w:rPr>
                <w:position w:val="-6"/>
                <w:sz w:val="20"/>
              </w:rPr>
              <w:object w:dxaOrig="780" w:dyaOrig="279">
                <v:shape id="_x0000_i1026" type="#_x0000_t75" style="width:39pt;height:14.25pt" o:ole="" fillcolor="window">
                  <v:imagedata r:id="rId7" o:title=""/>
                </v:shape>
                <o:OLEObject Type="Embed" ProgID="Equation.3" ShapeID="_x0000_i1026" DrawAspect="Content" ObjectID="_1467228415" r:id="rId8"/>
              </w:object>
            </w:r>
          </w:p>
          <w:p w:rsidR="007C0681" w:rsidRDefault="00437520">
            <w:pPr>
              <w:ind w:firstLine="709"/>
              <w:jc w:val="both"/>
              <w:rPr>
                <w:i/>
                <w:sz w:val="36"/>
                <w:lang w:val="en-US"/>
              </w:rPr>
            </w:pPr>
            <w:r>
              <w:rPr>
                <w:position w:val="-24"/>
                <w:sz w:val="20"/>
              </w:rPr>
              <w:object w:dxaOrig="639" w:dyaOrig="620">
                <v:shape id="_x0000_i1027" type="#_x0000_t75" style="width:32.25pt;height:30.75pt" o:ole="" fillcolor="window">
                  <v:imagedata r:id="rId9" o:title=""/>
                </v:shape>
                <o:OLEObject Type="Embed" ProgID="Equation.3" ShapeID="_x0000_i1027" DrawAspect="Content" ObjectID="_1467228416" r:id="rId10"/>
              </w:object>
            </w:r>
            <w:r>
              <w:rPr>
                <w:i/>
                <w:sz w:val="36"/>
                <w:lang w:val="en-US"/>
              </w:rPr>
              <w:t xml:space="preserve"> </w:t>
            </w:r>
          </w:p>
          <w:p w:rsidR="007C0681" w:rsidRDefault="00437520">
            <w:pPr>
              <w:ind w:firstLine="709"/>
              <w:jc w:val="both"/>
              <w:rPr>
                <w:sz w:val="36"/>
              </w:rPr>
            </w:pPr>
            <w:r>
              <w:rPr>
                <w:i/>
                <w:position w:val="-6"/>
                <w:sz w:val="20"/>
                <w:lang w:val="en-US"/>
              </w:rPr>
              <w:object w:dxaOrig="1200" w:dyaOrig="279">
                <v:shape id="_x0000_i1028" type="#_x0000_t75" style="width:60pt;height:14.25pt" o:ole="" fillcolor="window">
                  <v:imagedata r:id="rId11" o:title=""/>
                </v:shape>
                <o:OLEObject Type="Embed" ProgID="Equation.3" ShapeID="_x0000_i1028" DrawAspect="Content" ObjectID="_1467228417" r:id="rId12"/>
              </w:object>
            </w:r>
          </w:p>
        </w:tc>
        <w:tc>
          <w:tcPr>
            <w:tcW w:w="6627" w:type="dxa"/>
          </w:tcPr>
          <w:p w:rsidR="007C0681" w:rsidRDefault="00437520">
            <w:pPr>
              <w:ind w:hanging="107"/>
              <w:jc w:val="both"/>
            </w:pPr>
            <w:r>
              <w:rPr>
                <w:i/>
                <w:lang w:val="en-US"/>
              </w:rPr>
              <w:t>N</w:t>
            </w:r>
            <w:r>
              <w:rPr>
                <w:i/>
                <w:vertAlign w:val="subscript"/>
                <w:lang w:val="en-US"/>
              </w:rPr>
              <w:t>а</w:t>
            </w:r>
            <w:r>
              <w:rPr>
                <w:lang w:val="en-US"/>
              </w:rPr>
              <w:t xml:space="preserve"> – </w:t>
            </w:r>
            <w:r>
              <w:t>число Авогадро,</w:t>
            </w:r>
          </w:p>
          <w:p w:rsidR="007C0681" w:rsidRDefault="00437520">
            <w:pPr>
              <w:ind w:hanging="107"/>
              <w:jc w:val="both"/>
            </w:pPr>
            <w:r>
              <w:rPr>
                <w:position w:val="-4"/>
                <w:sz w:val="20"/>
              </w:rPr>
              <w:object w:dxaOrig="200" w:dyaOrig="260">
                <v:shape id="_x0000_i1029" type="#_x0000_t75" style="width:9.75pt;height:12.75pt" o:ole="" fillcolor="window">
                  <v:imagedata r:id="rId13" o:title=""/>
                </v:shape>
                <o:OLEObject Type="Embed" ProgID="Equation.3" ShapeID="_x0000_i1029" DrawAspect="Content" ObjectID="_1467228418" r:id="rId14"/>
              </w:object>
            </w:r>
            <w:r>
              <w:t>– постоянная Планка, 6,62*10</w:t>
            </w:r>
            <w:r>
              <w:rPr>
                <w:vertAlign w:val="superscript"/>
              </w:rPr>
              <w:t>–27</w:t>
            </w:r>
            <w:r>
              <w:t xml:space="preserve"> эрг/с,</w:t>
            </w:r>
          </w:p>
          <w:p w:rsidR="007C0681" w:rsidRDefault="00437520">
            <w:pPr>
              <w:ind w:hanging="107"/>
              <w:jc w:val="both"/>
            </w:pPr>
            <w:r>
              <w:t>с – скорость света (3*10</w:t>
            </w:r>
            <w:r>
              <w:rPr>
                <w:vertAlign w:val="superscript"/>
              </w:rPr>
              <w:t>8</w:t>
            </w:r>
            <w:r>
              <w:t xml:space="preserve"> м/с),</w:t>
            </w:r>
          </w:p>
          <w:p w:rsidR="007C0681" w:rsidRDefault="00437520">
            <w:pPr>
              <w:ind w:hanging="107"/>
              <w:jc w:val="both"/>
            </w:pPr>
            <w:r>
              <w:sym w:font="Symbol" w:char="F06C"/>
            </w:r>
            <w:r>
              <w:t xml:space="preserve"> – длина волны,</w:t>
            </w:r>
          </w:p>
          <w:p w:rsidR="007C0681" w:rsidRDefault="00437520">
            <w:pPr>
              <w:ind w:hanging="107"/>
              <w:jc w:val="both"/>
              <w:rPr>
                <w:lang w:val="en-US"/>
              </w:rPr>
            </w:pPr>
            <w:r>
              <w:sym w:font="Symbol" w:char="F06E"/>
            </w:r>
            <w:r>
              <w:t xml:space="preserve"> – частота.</w:t>
            </w:r>
          </w:p>
          <w:p w:rsidR="007C0681" w:rsidRDefault="007C0681">
            <w:pPr>
              <w:jc w:val="both"/>
            </w:pPr>
          </w:p>
        </w:tc>
      </w:tr>
    </w:tbl>
    <w:p w:rsidR="007C0681" w:rsidRDefault="00437520">
      <w:pPr>
        <w:ind w:firstLine="709"/>
        <w:jc w:val="both"/>
      </w:pPr>
      <w:r>
        <w:rPr>
          <w:i/>
        </w:rPr>
        <w:t xml:space="preserve">(*) </w:t>
      </w:r>
      <w:r>
        <w:t>– не пригодна для ДНК, которая содержит пурины, которые поглощая энергию не дают фотопродуктов.</w:t>
      </w:r>
    </w:p>
    <w:p w:rsidR="007C0681" w:rsidRDefault="00437520">
      <w:pPr>
        <w:ind w:firstLine="709"/>
        <w:jc w:val="both"/>
      </w:pPr>
      <w:r>
        <w:t>На клеточном уровне законы фотохимии имеют ограничения:</w:t>
      </w:r>
    </w:p>
    <w:p w:rsidR="007C0681" w:rsidRDefault="00437520">
      <w:pPr>
        <w:ind w:firstLine="709"/>
        <w:jc w:val="both"/>
      </w:pPr>
      <w:r>
        <w:rPr>
          <w:position w:val="-24"/>
          <w:sz w:val="20"/>
        </w:rPr>
        <w:object w:dxaOrig="3100" w:dyaOrig="620">
          <v:shape id="_x0000_i1030" type="#_x0000_t75" style="width:155.25pt;height:30.75pt" o:ole="" fillcolor="window">
            <v:imagedata r:id="rId15" o:title=""/>
          </v:shape>
          <o:OLEObject Type="Embed" ProgID="Equation.3" ShapeID="_x0000_i1030" DrawAspect="Content" ObjectID="_1467228419" r:id="rId16"/>
        </w:object>
      </w:r>
    </w:p>
    <w:p w:rsidR="007C0681" w:rsidRDefault="00437520">
      <w:pPr>
        <w:ind w:firstLine="709"/>
        <w:jc w:val="both"/>
      </w:pPr>
      <w:r>
        <w:t xml:space="preserve">С точки зрения фотохимии доза одна и та же, но при первой дозе клетки выживают, при второй нет, так как за одну секунду не успевают включиться системы репарации. Высокие дозы не вызывают перекисного окисления жирных кислот. </w:t>
      </w:r>
    </w:p>
    <w:p w:rsidR="007C0681" w:rsidRDefault="00437520">
      <w:pPr>
        <w:ind w:firstLine="709"/>
        <w:jc w:val="both"/>
      </w:pPr>
      <w:r>
        <w:t>У высших живых существ вещества, ослабляющие действие излучения – фотопротекторы. Многие растения содержат алкалоиды и кумарины, они усиливают процессы, вызванные радиацией. Эти вещества опастны для животных.</w:t>
      </w:r>
    </w:p>
    <w:p w:rsidR="007C0681" w:rsidRDefault="00F7602D">
      <w:pPr>
        <w:ind w:firstLine="709"/>
        <w:jc w:val="both"/>
      </w:pPr>
      <w:r>
        <w:rPr>
          <w:noProof/>
        </w:rPr>
        <w:object w:dxaOrig="1440" w:dyaOrig="1440">
          <v:shape id="_x0000_s1027" type="#_x0000_t75" style="position:absolute;left:0;text-align:left;margin-left:0;margin-top:32.2pt;width:102.15pt;height:92.75pt;z-index:-251661824;mso-wrap-edited:f;mso-position-horizontal:absolute;mso-position-horizontal-relative:text;mso-position-vertical:absolute;mso-position-vertical-relative:text" wrapcoords="-96 0 -96 21495 21600 21495 21600 0 -96 0" o:allowincell="f">
            <v:imagedata r:id="rId17" o:title=""/>
            <w10:wrap type="tight" side="largest"/>
          </v:shape>
          <o:OLEObject Type="Embed" ProgID="PBrush" ShapeID="_x0000_s1027" DrawAspect="Content" ObjectID="_1467228421" r:id="rId18"/>
        </w:object>
      </w:r>
      <w:r w:rsidR="00437520">
        <w:t>Источники излучения – солнечный свет, ртутные лампы, рентгеновское излучение, радиоактивные элементы.</w:t>
      </w:r>
    </w:p>
    <w:p w:rsidR="007C0681" w:rsidRDefault="00437520">
      <w:pPr>
        <w:pStyle w:val="a4"/>
      </w:pPr>
      <w:r>
        <w:t>Проникая в кожу, квант излучения оставляет шлейф ионизированного вещества.</w:t>
      </w:r>
    </w:p>
    <w:p w:rsidR="007C0681" w:rsidRDefault="00437520">
      <w:pPr>
        <w:jc w:val="both"/>
      </w:pPr>
      <w:r>
        <w:t>Для оценки радиационного поражения используют две величины:</w:t>
      </w:r>
    </w:p>
    <w:p w:rsidR="007C0681" w:rsidRDefault="00437520">
      <w:pPr>
        <w:jc w:val="both"/>
      </w:pPr>
      <w:r>
        <w:rPr>
          <w:b/>
        </w:rPr>
        <w:t>ЛПЭ</w:t>
      </w:r>
      <w:r>
        <w:t xml:space="preserve"> – линейная передача энергии – энергия, переданная веществу (в электронвольтах) на 1 нм пробега частицы.</w:t>
      </w:r>
    </w:p>
    <w:p w:rsidR="007C0681" w:rsidRDefault="00437520">
      <w:pPr>
        <w:jc w:val="both"/>
      </w:pPr>
      <w:r>
        <w:rPr>
          <w:b/>
        </w:rPr>
        <w:t>ЛПИ</w:t>
      </w:r>
      <w:r>
        <w:t xml:space="preserve"> – линейная плотность ионизации – количество возникающих пар ионов на 1 нм пробега частицы.</w:t>
      </w:r>
    </w:p>
    <w:p w:rsidR="007C0681" w:rsidRDefault="00437520">
      <w:pPr>
        <w:ind w:firstLine="709"/>
        <w:jc w:val="both"/>
      </w:pPr>
      <w:r>
        <w:sym w:font="Symbol" w:char="F067"/>
      </w:r>
      <w:r>
        <w:t xml:space="preserve">-излучение может разрывать сахарофосфатный остов, кольца пуринов и пиримидинов. </w:t>
      </w:r>
    </w:p>
    <w:p w:rsidR="007C0681" w:rsidRDefault="00437520">
      <w:pPr>
        <w:ind w:firstLine="709"/>
        <w:jc w:val="both"/>
      </w:pPr>
      <w:r>
        <w:t xml:space="preserve">Фактор изменения дозы: </w:t>
      </w:r>
      <w:r>
        <w:rPr>
          <w:position w:val="-28"/>
          <w:sz w:val="20"/>
        </w:rPr>
        <w:object w:dxaOrig="3060" w:dyaOrig="660">
          <v:shape id="_x0000_i1032" type="#_x0000_t75" style="width:153pt;height:33pt" o:ole="" fillcolor="window">
            <v:imagedata r:id="rId19" o:title=""/>
          </v:shape>
          <o:OLEObject Type="Embed" ProgID="Equation.3" ShapeID="_x0000_i1032" DrawAspect="Content" ObjectID="_1467228420" r:id="rId20"/>
        </w:object>
      </w:r>
    </w:p>
    <w:p w:rsidR="007C0681" w:rsidRDefault="00F7602D">
      <w:pPr>
        <w:pStyle w:val="2"/>
      </w:pPr>
      <w:r>
        <w:rPr>
          <w:noProof/>
        </w:rPr>
        <w:pict>
          <v:line id="_x0000_s1028" style="position:absolute;left:0;text-align:left;z-index:251656704;mso-position-horizontal:absolute;mso-position-horizontal-relative:text;mso-position-vertical:absolute;mso-position-vertical-relative:text" from="238.95pt,14.1pt" to="375.75pt,35.7pt" o:allowincell="f">
            <v:stroke endarrow="block"/>
          </v:line>
        </w:pict>
      </w:r>
      <w:r>
        <w:rPr>
          <w:noProof/>
        </w:rPr>
        <w:pict>
          <v:line id="_x0000_s1029" style="position:absolute;left:0;text-align:left;flip:x;z-index:251655680;mso-position-horizontal:absolute;mso-position-horizontal-relative:text;mso-position-vertical:absolute;mso-position-vertical-relative:text" from="123.75pt,14.1pt" to="238.95pt,35.7pt" o:allowincell="f">
            <v:stroke endarrow="block"/>
          </v:line>
        </w:pict>
      </w:r>
      <w:r w:rsidR="00437520">
        <w:t>Модификаторы</w:t>
      </w:r>
    </w:p>
    <w:p w:rsidR="007C0681" w:rsidRDefault="007C0681">
      <w:pPr>
        <w:jc w:val="center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53"/>
        <w:gridCol w:w="4501"/>
      </w:tblGrid>
      <w:tr w:rsidR="007C0681">
        <w:tc>
          <w:tcPr>
            <w:tcW w:w="5353" w:type="dxa"/>
          </w:tcPr>
          <w:p w:rsidR="007C0681" w:rsidRDefault="00437520">
            <w:pPr>
              <w:jc w:val="center"/>
            </w:pPr>
            <w:r>
              <w:t>Протекторы –</w:t>
            </w:r>
          </w:p>
          <w:p w:rsidR="007C0681" w:rsidRDefault="00437520">
            <w:pPr>
              <w:jc w:val="center"/>
            </w:pPr>
            <w:r>
              <w:t>усиливают действие излучения.</w:t>
            </w:r>
          </w:p>
          <w:p w:rsidR="007C0681" w:rsidRDefault="0043752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(вещества и тиоловой группой, гистамин и др.)</w:t>
            </w:r>
          </w:p>
        </w:tc>
        <w:tc>
          <w:tcPr>
            <w:tcW w:w="4501" w:type="dxa"/>
          </w:tcPr>
          <w:p w:rsidR="007C0681" w:rsidRDefault="00437520">
            <w:pPr>
              <w:jc w:val="center"/>
            </w:pPr>
            <w:r>
              <w:t>Сенсибилизаторы –</w:t>
            </w:r>
          </w:p>
          <w:p w:rsidR="007C0681" w:rsidRDefault="00437520">
            <w:pPr>
              <w:jc w:val="center"/>
            </w:pPr>
            <w:r>
              <w:t>ослабляют действие излучения.</w:t>
            </w:r>
          </w:p>
          <w:p w:rsidR="007C0681" w:rsidRDefault="0043752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(новокаин, резерпин, морфий)</w:t>
            </w:r>
          </w:p>
        </w:tc>
      </w:tr>
    </w:tbl>
    <w:p w:rsidR="007C0681" w:rsidRDefault="007C0681">
      <w:pPr>
        <w:jc w:val="center"/>
      </w:pPr>
    </w:p>
    <w:p w:rsidR="007C0681" w:rsidRDefault="00437520">
      <w:pPr>
        <w:ind w:firstLine="709"/>
        <w:jc w:val="both"/>
      </w:pPr>
      <w:r>
        <w:rPr>
          <w:u w:val="single"/>
        </w:rPr>
        <w:t>Теория одной мишени</w:t>
      </w:r>
      <w:r>
        <w:t xml:space="preserve"> – чем проще органическое существо, тем большие дозы облучения оно может выдерживать. </w:t>
      </w:r>
      <w:r>
        <w:rPr>
          <w:i/>
          <w:sz w:val="22"/>
        </w:rPr>
        <w:t>(Пример: бактерии прособны выдержать 600 крад, мыши – 100 рад).</w:t>
      </w:r>
      <w:r>
        <w:t xml:space="preserve"> ДНК – основной поглотитель мутагена.</w:t>
      </w:r>
    </w:p>
    <w:p w:rsidR="007C0681" w:rsidRDefault="00437520">
      <w:pPr>
        <w:ind w:firstLine="709"/>
        <w:jc w:val="both"/>
      </w:pPr>
      <w:r>
        <w:t xml:space="preserve">1958 г. Альперт сформулировал </w:t>
      </w:r>
      <w:r>
        <w:rPr>
          <w:u w:val="single"/>
        </w:rPr>
        <w:t>теорию двух мишеней</w:t>
      </w:r>
      <w:r>
        <w:t xml:space="preserve">, в которой показал, что различие в чуствительности </w:t>
      </w:r>
      <w:r>
        <w:rPr>
          <w:i/>
          <w:lang w:val="en-US"/>
        </w:rPr>
        <w:t>E. coli</w:t>
      </w:r>
      <w:r>
        <w:t xml:space="preserve"> в атмосфере азота и кислорода зависит от того, что существуют две мишени (в азоте мишень – ДНК, 260 нм УФ; в кислороде – мембрана, 360 нм проявление кислородного эффекта). При проведении острых опытов, наблюдали мгновенную гибель, при проведении хронических опытов – гибель через несколько дней. Энергия воздействия лучей мала, но клетка усиливает дозу облучения. При малых дозах гибель клеток через несколько недель связана с активацией нуклеаз, нарушением ДНК-мембранного комплекса. Исследование семян и бактерий высокогорья показало, что при низких дозах облучения у них образуются фотопродукты иной структуры, чем те, что образуются при сильном облучении</w:t>
      </w:r>
      <w:r>
        <w:rPr>
          <w:sz w:val="22"/>
        </w:rPr>
        <w:t xml:space="preserve">. </w:t>
      </w:r>
      <w:r>
        <w:rPr>
          <w:i/>
          <w:sz w:val="22"/>
        </w:rPr>
        <w:t>(6,4-пиримидин-2-ОН – продукт высокогорных растений, в их спорах содержится продукт другой структуры)</w:t>
      </w:r>
      <w:r>
        <w:rPr>
          <w:sz w:val="22"/>
        </w:rPr>
        <w:t>.</w:t>
      </w:r>
      <w:r>
        <w:t xml:space="preserve"> У дрожжей фотопродукты не образуются при облучении, а при вегетативном размножении в момент митоаз  происходит образование обыкновенных димеров. Бактерии, обитающие на голодной среде и имеющие один геном обречены на смерть при воздействии физического мутагена, тогда как содержащие несколько геномов способны выжить. </w:t>
      </w:r>
    </w:p>
    <w:p w:rsidR="007C0681" w:rsidRDefault="00437520">
      <w:pPr>
        <w:ind w:firstLine="709"/>
        <w:jc w:val="both"/>
      </w:pPr>
      <w:r>
        <w:t>Действие инфракрасного излучения и шумов на клетки не изучено. Физические мутгены и их действие сильно зависит от предварительной эволюции организма. К постоянно действующим мутагенам виды выработали устойчивость. Физический мутагенез может не регистрироваться из-за быстрой гибели мутантных организмов.</w:t>
      </w:r>
    </w:p>
    <w:p w:rsidR="007C0681" w:rsidRDefault="00437520">
      <w:pPr>
        <w:ind w:firstLine="709"/>
        <w:jc w:val="both"/>
      </w:pPr>
      <w:r>
        <w:t>Мутагенный ответ могут вызывать любые частицы, вызывающие ионизирующую радиацию (нейтроны, протоны, электроны).</w:t>
      </w:r>
    </w:p>
    <w:p w:rsidR="007C0681" w:rsidRDefault="00437520">
      <w:pPr>
        <w:pStyle w:val="2"/>
      </w:pPr>
      <w:r>
        <w:t>Ионизирующие частицы</w:t>
      </w:r>
    </w:p>
    <w:p w:rsidR="007C0681" w:rsidRDefault="00437520">
      <w:pPr>
        <w:jc w:val="center"/>
        <w:rPr>
          <w:i/>
          <w:sz w:val="22"/>
        </w:rPr>
      </w:pPr>
      <w:r>
        <w:rPr>
          <w:i/>
          <w:sz w:val="22"/>
        </w:rPr>
        <w:t>(образуются при распаде радиоактивного элемента)</w:t>
      </w:r>
    </w:p>
    <w:p w:rsidR="007C0681" w:rsidRDefault="00F7602D">
      <w:pPr>
        <w:jc w:val="center"/>
      </w:pPr>
      <w:r>
        <w:rPr>
          <w:noProof/>
        </w:rPr>
        <w:pict>
          <v:line id="_x0000_s1030" style="position:absolute;left:0;text-align:left;z-index:251659776;mso-position-horizontal:absolute;mso-position-horizontal-relative:text;mso-position-vertical:absolute;mso-position-vertical-relative:text" from="238.95pt,.9pt" to="411.75pt,29.7pt" o:allowincell="f">
            <v:stroke endarrow="block"/>
          </v:line>
        </w:pict>
      </w:r>
      <w:r>
        <w:rPr>
          <w:noProof/>
        </w:rPr>
        <w:pict>
          <v:line id="_x0000_s1031" style="position:absolute;left:0;text-align:left;z-index:251658752;mso-position-horizontal:absolute;mso-position-horizontal-relative:text;mso-position-vertical:absolute;mso-position-vertical-relative:text" from="238.95pt,.9pt" to="246.15pt,36.9pt" o:allowincell="f">
            <v:stroke endarrow="block"/>
          </v:line>
        </w:pict>
      </w:r>
      <w:r>
        <w:rPr>
          <w:noProof/>
        </w:rPr>
        <w:pict>
          <v:line id="_x0000_s1032" style="position:absolute;left:0;text-align:left;flip:x;z-index:251657728;mso-position-horizontal:absolute;mso-position-horizontal-relative:text;mso-position-vertical:absolute;mso-position-vertical-relative:text" from="80.55pt,.9pt" to="238.95pt,29.7pt" o:allowincell="f">
            <v:stroke endarrow="block"/>
          </v:line>
        </w:pict>
      </w:r>
    </w:p>
    <w:p w:rsidR="007C0681" w:rsidRDefault="007C0681">
      <w:pPr>
        <w:jc w:val="center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284"/>
        <w:gridCol w:w="3628"/>
        <w:gridCol w:w="2940"/>
      </w:tblGrid>
      <w:tr w:rsidR="007C0681">
        <w:tc>
          <w:tcPr>
            <w:tcW w:w="3284" w:type="dxa"/>
          </w:tcPr>
          <w:p w:rsidR="007C0681" w:rsidRDefault="00437520">
            <w:pPr>
              <w:jc w:val="center"/>
            </w:pPr>
            <w:r>
              <w:sym w:font="Symbol" w:char="F061"/>
            </w:r>
            <w:r>
              <w:t>-частицы</w:t>
            </w:r>
          </w:p>
          <w:p w:rsidR="007C0681" w:rsidRDefault="00437520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(ядра атома </w:t>
            </w:r>
            <w:r>
              <w:rPr>
                <w:i/>
                <w:sz w:val="22"/>
                <w:lang w:val="en-US"/>
              </w:rPr>
              <w:t>He</w:t>
            </w:r>
            <w:r>
              <w:rPr>
                <w:i/>
                <w:sz w:val="22"/>
              </w:rPr>
              <w:t>: 2</w:t>
            </w:r>
            <w:r>
              <w:rPr>
                <w:i/>
                <w:sz w:val="22"/>
                <w:lang w:val="en-US"/>
              </w:rPr>
              <w:t xml:space="preserve"> </w:t>
            </w:r>
            <w:r>
              <w:rPr>
                <w:i/>
                <w:sz w:val="22"/>
              </w:rPr>
              <w:t>протона, 2 нейтрона). Задерживаются даже одеждой, но роговица глаза, эпителиальные клетки и сперма могут давать мутагенный ответ.</w:t>
            </w:r>
          </w:p>
        </w:tc>
        <w:tc>
          <w:tcPr>
            <w:tcW w:w="3628" w:type="dxa"/>
          </w:tcPr>
          <w:p w:rsidR="007C0681" w:rsidRDefault="00437520">
            <w:pPr>
              <w:jc w:val="center"/>
            </w:pPr>
            <w:r>
              <w:sym w:font="Symbol" w:char="F062"/>
            </w:r>
            <w:r>
              <w:t>-частицы</w:t>
            </w:r>
          </w:p>
          <w:p w:rsidR="007C0681" w:rsidRDefault="00437520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(быстрые электроны от </w:t>
            </w:r>
            <w:r>
              <w:rPr>
                <w:i/>
                <w:sz w:val="22"/>
                <w:lang w:val="en-US"/>
              </w:rPr>
              <w:t>U</w:t>
            </w:r>
            <w:r>
              <w:rPr>
                <w:i/>
                <w:sz w:val="22"/>
                <w:vertAlign w:val="superscript"/>
                <w:lang w:val="en-US"/>
              </w:rPr>
              <w:t xml:space="preserve"> 238</w:t>
            </w:r>
            <w:r>
              <w:rPr>
                <w:i/>
                <w:sz w:val="22"/>
              </w:rPr>
              <w:t xml:space="preserve"> или </w:t>
            </w:r>
            <w:r>
              <w:rPr>
                <w:i/>
                <w:sz w:val="22"/>
                <w:lang w:val="en-US"/>
              </w:rPr>
              <w:t>Ra</w:t>
            </w:r>
            <w:r>
              <w:rPr>
                <w:i/>
                <w:sz w:val="22"/>
              </w:rPr>
              <w:t xml:space="preserve">). Обладают высокой проникающей способностью, проходят через кожу, оставляя шлейф возбужденных атомов, вторичная ионизация  привотит к мутагенному ответу. </w:t>
            </w:r>
          </w:p>
        </w:tc>
        <w:tc>
          <w:tcPr>
            <w:tcW w:w="2940" w:type="dxa"/>
          </w:tcPr>
          <w:p w:rsidR="007C0681" w:rsidRDefault="00437520">
            <w:pPr>
              <w:jc w:val="center"/>
            </w:pPr>
            <w:r>
              <w:sym w:font="Symbol" w:char="F067"/>
            </w:r>
            <w:r>
              <w:t>-частицы</w:t>
            </w:r>
          </w:p>
          <w:p w:rsidR="007C0681" w:rsidRDefault="00437520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(нейтроны). Максимальная проникающая способность.</w:t>
            </w:r>
          </w:p>
        </w:tc>
      </w:tr>
    </w:tbl>
    <w:p w:rsidR="007C0681" w:rsidRDefault="007C0681">
      <w:pPr>
        <w:jc w:val="center"/>
      </w:pPr>
    </w:p>
    <w:p w:rsidR="007C0681" w:rsidRDefault="00437520">
      <w:pPr>
        <w:pStyle w:val="3"/>
      </w:pPr>
      <w:r>
        <w:t xml:space="preserve">Нейтроны обладают очень высокой проникающей способностью. По мутационному ответу превосходят </w:t>
      </w:r>
      <w:r>
        <w:sym w:font="Symbol" w:char="F061"/>
      </w:r>
      <w:r>
        <w:t xml:space="preserve">- и </w:t>
      </w:r>
      <w:r>
        <w:sym w:font="Symbol" w:char="F062"/>
      </w:r>
      <w:r>
        <w:t>-частицы. Измеряются в следующих единицах: Кюри слишком крупные единицы, их заменили на Беккерель. БЭР (единица поглощения) – биологический эквивалент рада. Сейчас измеряют в зиветрах. Одна доза разного излучения имеет разный биологический ответ.</w:t>
      </w:r>
    </w:p>
    <w:p w:rsidR="007C0681" w:rsidRDefault="00437520">
      <w:pPr>
        <w:pStyle w:val="3"/>
      </w:pPr>
      <w:r>
        <w:t>1 грей рентгеновского излучения равено одному зиверту.</w:t>
      </w:r>
    </w:p>
    <w:p w:rsidR="007C0681" w:rsidRDefault="00437520">
      <w:pPr>
        <w:pStyle w:val="3"/>
      </w:pPr>
      <w:r>
        <w:t>1 грей нейтрино равен 10 зивертам.</w:t>
      </w:r>
    </w:p>
    <w:p w:rsidR="007C0681" w:rsidRDefault="00437520">
      <w:pPr>
        <w:pStyle w:val="3"/>
      </w:pPr>
      <w:r>
        <w:t>Последствия облучения : смерть, мутация соматических клеток → рак, мутация половых клеток → уродство потомства.</w:t>
      </w:r>
    </w:p>
    <w:p w:rsidR="007C0681" w:rsidRDefault="00437520">
      <w:pPr>
        <w:pStyle w:val="3"/>
      </w:pPr>
      <w:r>
        <w:t>Смерть может наступать трех типов:</w:t>
      </w:r>
    </w:p>
    <w:p w:rsidR="007C0681" w:rsidRDefault="00437520">
      <w:pPr>
        <w:pStyle w:val="3"/>
        <w:numPr>
          <w:ilvl w:val="0"/>
          <w:numId w:val="7"/>
        </w:numPr>
      </w:pPr>
      <w:r>
        <w:t>Через несколько часов в результате поражения сосудов мозга и нервов (цереброваскуляция).</w:t>
      </w:r>
    </w:p>
    <w:p w:rsidR="007C0681" w:rsidRDefault="00437520">
      <w:pPr>
        <w:pStyle w:val="3"/>
        <w:numPr>
          <w:ilvl w:val="0"/>
          <w:numId w:val="7"/>
        </w:numPr>
      </w:pPr>
      <w:r>
        <w:t>Через 1–2 недели – кишечный синдром в результате гибели клеток кишечника.</w:t>
      </w:r>
    </w:p>
    <w:p w:rsidR="007C0681" w:rsidRDefault="00437520">
      <w:pPr>
        <w:pStyle w:val="3"/>
        <w:numPr>
          <w:ilvl w:val="0"/>
          <w:numId w:val="7"/>
        </w:numPr>
      </w:pPr>
      <w:r>
        <w:t>Гибель организма через 2–3 месяца. Гематоэнцефалический синдром. Кроветворные клетки костного мозга умирают.</w:t>
      </w:r>
    </w:p>
    <w:p w:rsidR="007C0681" w:rsidRDefault="00437520">
      <w:pPr>
        <w:pStyle w:val="3"/>
      </w:pPr>
      <w:r>
        <w:t xml:space="preserve">Все уродства при облучении затрагивали только костную систему (16 млн. мышей).  Млекопитающие устойчивы к малым дозам радиации, но к большим – нет. В географический зонах с высоким уровнем радиации популяции адаптируются (Дельта Нила, Денвре, Рио–де–Жанейро). </w:t>
      </w:r>
    </w:p>
    <w:p w:rsidR="007C0681" w:rsidRDefault="00437520">
      <w:pPr>
        <w:pStyle w:val="3"/>
      </w:pPr>
      <w:r>
        <w:t>Существуют два способа радиации: облучение снаружи и через внутренности (через легкие и пищеварительную систему). Радиация проникает через порезы, не защищенные эпителием. Дейтерий и тритий радиоактивны. Входя в состав молекул воды, способны вызывать мутагенез. Живая вода является антиоксидантом, вызывает усиленную регенерацию. Грибы способны накапливать радионуклеиды в плодовых телах.</w:t>
      </w:r>
      <w:bookmarkStart w:id="0" w:name="_GoBack"/>
      <w:bookmarkEnd w:id="0"/>
    </w:p>
    <w:sectPr w:rsidR="007C0681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96BF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879202B"/>
    <w:multiLevelType w:val="singleLevel"/>
    <w:tmpl w:val="84F2C63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36AF1090"/>
    <w:multiLevelType w:val="singleLevel"/>
    <w:tmpl w:val="84F2C63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>
    <w:nsid w:val="38846A56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48407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BD31245"/>
    <w:multiLevelType w:val="singleLevel"/>
    <w:tmpl w:val="3410B9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671E3885"/>
    <w:multiLevelType w:val="singleLevel"/>
    <w:tmpl w:val="F2F093E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28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520"/>
    <w:rsid w:val="00437520"/>
    <w:rsid w:val="007C0681"/>
    <w:rsid w:val="00F7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7F683971-09F6-4574-AFC9-76782646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67"/>
    </w:pPr>
  </w:style>
  <w:style w:type="paragraph" w:styleId="20">
    <w:name w:val="Body Text Indent 2"/>
    <w:basedOn w:val="a"/>
    <w:semiHidden/>
    <w:pPr>
      <w:ind w:firstLine="709"/>
    </w:pPr>
  </w:style>
  <w:style w:type="paragraph" w:styleId="3">
    <w:name w:val="Body Text Indent 3"/>
    <w:basedOn w:val="a"/>
    <w:semiHidden/>
    <w:pPr>
      <w:ind w:firstLine="709"/>
      <w:jc w:val="both"/>
    </w:pPr>
  </w:style>
  <w:style w:type="paragraph" w:styleId="a4">
    <w:name w:val="Body Text"/>
    <w:basedOn w:val="a"/>
    <w:semiHidden/>
    <w:pPr>
      <w:jc w:val="both"/>
    </w:pPr>
  </w:style>
  <w:style w:type="paragraph" w:styleId="a5">
    <w:name w:val="caption"/>
    <w:basedOn w:val="a"/>
    <w:qFormat/>
    <w:pPr>
      <w:jc w:val="center"/>
    </w:pPr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Физический мутагенез</vt:lpstr>
    </vt:vector>
  </TitlesOfParts>
  <Company> 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Физический мутагенез</dc:title>
  <dc:subject/>
  <dc:creator>Ирина Киреева</dc:creator>
  <cp:keywords/>
  <dc:description>Доклад по дисциплине "Мутагенез" (дис/спец зоологов, 8 семестр, преподаватель Селезнева Е.С.)</dc:description>
  <cp:lastModifiedBy>Irina</cp:lastModifiedBy>
  <cp:revision>2</cp:revision>
  <dcterms:created xsi:type="dcterms:W3CDTF">2014-07-18T19:40:00Z</dcterms:created>
  <dcterms:modified xsi:type="dcterms:W3CDTF">2014-07-18T19:40:00Z</dcterms:modified>
</cp:coreProperties>
</file>