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4B29" w:rsidRDefault="005D7459">
      <w:pPr>
        <w:widowControl w:val="0"/>
        <w:spacing w:before="120"/>
        <w:jc w:val="center"/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>СТАТИСТИКА ОБОРОТНЫХ СРЕДСТВ.</w:t>
      </w:r>
    </w:p>
    <w:p w:rsidR="000F4B29" w:rsidRDefault="005D745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Основным элементом пр-ва явл-ся оборотные ср-ва (ОС) – предметы труда, часть народного богатства страны, это тот оборотный капитал, деньги, которые постоянно находятся в обороте у предприятия, связанным с оплатой всех необходимых материальных ресурсов – произв. запасов и т.д. ОС однократно участвуют в процессе пр-ва продукции, работ, услуг и сразу полностью переносят свою ст-ть на с/ст-ть готовой продукции.</w:t>
      </w:r>
    </w:p>
    <w:p w:rsidR="000F4B29" w:rsidRDefault="005D745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ОС – это сумма ОФ и фондов обращения.</w:t>
      </w:r>
    </w:p>
    <w:p w:rsidR="000F4B29" w:rsidRDefault="005D745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К оборотным произв. фондам относятся:</w:t>
      </w:r>
    </w:p>
    <w:p w:rsidR="000F4B29" w:rsidRDefault="005D745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произв. запасы материальных ресурсов на матер. складах предприятия</w:t>
      </w:r>
    </w:p>
    <w:p w:rsidR="000F4B29" w:rsidRDefault="005D745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незавершённое пр-во</w:t>
      </w:r>
    </w:p>
    <w:p w:rsidR="000F4B29" w:rsidRDefault="005D745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расходы будущих периодов</w:t>
      </w:r>
    </w:p>
    <w:p w:rsidR="000F4B29" w:rsidRDefault="005D745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К фондам обращения относятся:</w:t>
      </w:r>
    </w:p>
    <w:p w:rsidR="000F4B29" w:rsidRDefault="005D745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готовая продукция – попадает в н/х обращение</w:t>
      </w:r>
    </w:p>
    <w:p w:rsidR="000F4B29" w:rsidRDefault="005D745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товары отгруженные</w:t>
      </w:r>
    </w:p>
    <w:p w:rsidR="000F4B29" w:rsidRDefault="005D745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дебиторская задолженность</w:t>
      </w:r>
    </w:p>
    <w:p w:rsidR="000F4B29" w:rsidRDefault="005D745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ден. ср-ва на р/с</w:t>
      </w:r>
    </w:p>
    <w:p w:rsidR="000F4B29" w:rsidRDefault="005D745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касса</w:t>
      </w:r>
    </w:p>
    <w:p w:rsidR="000F4B29" w:rsidRDefault="005D745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ср-ва в расчётах</w:t>
      </w:r>
    </w:p>
    <w:p w:rsidR="000F4B29" w:rsidRDefault="005D745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прочие ден. ср-ва.</w:t>
      </w:r>
    </w:p>
    <w:p w:rsidR="000F4B29" w:rsidRDefault="005D745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При изучении ОС в них особо выделяют товароматериальные ценности – произв. запасы, предназначенные для пр-ва и находящиеся на складе, а также прочие ОФ.</w:t>
      </w:r>
    </w:p>
    <w:p w:rsidR="000F4B29" w:rsidRDefault="005D745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Выделяют след. группы ОФ:</w:t>
      </w:r>
    </w:p>
    <w:p w:rsidR="000F4B29" w:rsidRDefault="005D745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сырьё и осн. материалы, полуфабрикаты</w:t>
      </w:r>
    </w:p>
    <w:p w:rsidR="000F4B29" w:rsidRDefault="005D745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вспомогательные материалы</w:t>
      </w:r>
    </w:p>
    <w:p w:rsidR="000F4B29" w:rsidRDefault="005D745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топливо и горючее</w:t>
      </w:r>
    </w:p>
    <w:p w:rsidR="000F4B29" w:rsidRDefault="005D745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тара и тарные материалы</w:t>
      </w:r>
    </w:p>
    <w:p w:rsidR="000F4B29" w:rsidRDefault="005D745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запчасти для ремонта</w:t>
      </w:r>
    </w:p>
    <w:p w:rsidR="000F4B29" w:rsidRDefault="005D745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малоценные и быстро изнашивающиеся инструменты и инвентарь</w:t>
      </w:r>
    </w:p>
    <w:p w:rsidR="000F4B29" w:rsidRDefault="005D745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незавершённое пр-во</w:t>
      </w:r>
    </w:p>
    <w:p w:rsidR="000F4B29" w:rsidRDefault="005D745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прочие ОФ</w:t>
      </w:r>
    </w:p>
    <w:p w:rsidR="000F4B29" w:rsidRDefault="005D745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Различают след. виды запасов ОФ:</w:t>
      </w:r>
    </w:p>
    <w:p w:rsidR="000F4B29" w:rsidRDefault="005D745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текущие запасы</w:t>
      </w:r>
    </w:p>
    <w:p w:rsidR="000F4B29" w:rsidRDefault="005D745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страховые запасы</w:t>
      </w:r>
    </w:p>
    <w:p w:rsidR="000F4B29" w:rsidRDefault="005D745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подготовительные запасы</w:t>
      </w:r>
    </w:p>
    <w:p w:rsidR="000F4B29" w:rsidRDefault="005D745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сезонные.</w:t>
      </w:r>
    </w:p>
    <w:p w:rsidR="000F4B29" w:rsidRDefault="005D745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Кругооборот ОС – это процесс последовательного перехода ОС из одной стадии в др.</w:t>
      </w:r>
    </w:p>
    <w:p w:rsidR="000F4B29" w:rsidRDefault="005D745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Д(1) – Т – Д(2)</w:t>
      </w:r>
    </w:p>
    <w:p w:rsidR="000F4B29" w:rsidRDefault="005D745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деньги, затраченные на покупку и оплату всех матер. ресурсов – предметов труда (Д(1))</w:t>
      </w:r>
    </w:p>
    <w:p w:rsidR="000F4B29" w:rsidRDefault="005D745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из закупленных предметов труда (матер. ресурсов) производится гот. продукция. На этой стадии деньги превращаются в товар (Т)</w:t>
      </w:r>
    </w:p>
    <w:p w:rsidR="000F4B29" w:rsidRDefault="005D745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реализация гот. продукции, в результате чего товар вновь превращается в деньги (Д(2)).</w:t>
      </w:r>
    </w:p>
    <w:p w:rsidR="000F4B29" w:rsidRDefault="005D745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ОС учитываются с помощью показателя «ст-ть остатка ОС на конец и начало месяца».</w:t>
      </w:r>
    </w:p>
    <w:p w:rsidR="000F4B29" w:rsidRDefault="005D745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Один оборот ОС – это время с момента оплаты матер. ресурсов (Д(1)) до момента возвращения денег за РП на р/с предприятия в банке – это продолжительность одного оборота в днях.</w:t>
      </w:r>
    </w:p>
    <w:p w:rsidR="000F4B29" w:rsidRDefault="005D745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Функция ОС – платеже-расчетное обеспечение кругооборота матер. ценностей и их реализации на стадиях приобретения, пр-ва и реализации. Разные виды матер. ресурсов расходуются по установленным нормам на единицу каждого вида продукции. Нормирование ОС необходимо для определения минимальных потребностей в ден. ср-вах на оплату матер. ресурсов, необходимых предприятию в плановом году для создания произв. запасов матер. ресурсов.</w:t>
      </w:r>
    </w:p>
    <w:p w:rsidR="000F4B29" w:rsidRDefault="005D745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Все ОС предприятия делятся на:</w:t>
      </w:r>
    </w:p>
    <w:p w:rsidR="000F4B29" w:rsidRDefault="005D745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Собственные – выделяются гос-вом из гос. бюджета в постоянное пользование предприятию. К ним относятся:</w:t>
      </w:r>
    </w:p>
    <w:p w:rsidR="000F4B29" w:rsidRDefault="005D745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уставный фонд</w:t>
      </w:r>
    </w:p>
    <w:p w:rsidR="000F4B29" w:rsidRDefault="005D745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прибыль</w:t>
      </w:r>
    </w:p>
    <w:p w:rsidR="000F4B29" w:rsidRDefault="005D745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ср-ва, приравненные к собственным – устойчивые пассивы.</w:t>
      </w:r>
    </w:p>
    <w:p w:rsidR="000F4B29" w:rsidRDefault="005D745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Заёмные – участвуют в обороте только временно, с условием их возврата в опр. срок:</w:t>
      </w:r>
    </w:p>
    <w:p w:rsidR="000F4B29" w:rsidRDefault="005D745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кредиты банка</w:t>
      </w:r>
    </w:p>
    <w:p w:rsidR="000F4B29" w:rsidRDefault="005D745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кредит из бюджета вышестоящей организации</w:t>
      </w:r>
    </w:p>
    <w:p w:rsidR="000F4B29" w:rsidRDefault="005D745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спонсорские ср-ва.</w:t>
      </w:r>
    </w:p>
    <w:p w:rsidR="000F4B29" w:rsidRDefault="005D745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Устойчивые пассивы - это привлечённые предприятием ден. ср-ва, величина которых имеет постоянный устойчивый хар-р, это деньги предприятия, временно находящиеся в свободном состоянии, но предназначенные на опр. цели, нужды предприятия. </w:t>
      </w:r>
    </w:p>
    <w:p w:rsidR="000F4B29" w:rsidRDefault="005D745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Если у нас не хватает собственных ОС на оплату предметов труда, мы временно можем использовать на эти цели свободные деньги, а затем, реализуя продукцию, вернём их себе же на предназначенные нужды. </w:t>
      </w:r>
    </w:p>
    <w:p w:rsidR="000F4B29" w:rsidRDefault="005D745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К устойчивым пассивам относятся:</w:t>
      </w:r>
    </w:p>
    <w:p w:rsidR="000F4B29" w:rsidRDefault="005D745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Переходящая задолженность по з/п и отчисления на соц. нужды в пределах установленных сроков выплаты з/п и перечисления причитающихся ср-в профсоюзам. </w:t>
      </w:r>
    </w:p>
    <w:p w:rsidR="000F4B29" w:rsidRDefault="005D745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Резервируемые ср-ва для выплаты вознаграждений за выслугу лет, оплату отпусков, выходных пособий и т.д.</w:t>
      </w:r>
    </w:p>
    <w:p w:rsidR="000F4B29" w:rsidRDefault="005D745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Временно свободные ср-ва фондов эк. стимулирования и др. спец. фондов.</w:t>
      </w:r>
    </w:p>
    <w:p w:rsidR="000F4B29" w:rsidRDefault="005D745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Кредиторская задолженность – этот источник ОС возникает в тех случаях, когда приобретаемые матер. ценности поступают раньше, чем они оплачены, когда возникает задержка платежа. </w:t>
      </w:r>
    </w:p>
    <w:p w:rsidR="000F4B29" w:rsidRDefault="005D745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Резерв предстоящих платежей</w:t>
      </w:r>
    </w:p>
    <w:p w:rsidR="000F4B29" w:rsidRDefault="005D745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Прочие.</w:t>
      </w:r>
    </w:p>
    <w:p w:rsidR="000F4B29" w:rsidRDefault="005D7459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ПОКАЗАТЕЛИ ИСПОЛЬЗОВАНИЯ ЭФФЕКТИВНОСТИ ОС. </w:t>
      </w:r>
    </w:p>
    <w:p w:rsidR="000F4B29" w:rsidRDefault="005D745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Задачей каждого предприятия явл-ся наиболее рациональное и экономное использование ОФ, т.к. они составляют наибольший удельный вес в общих затратах предприятия, связанных с пр-вом и реализацией продукции (80-85% в материалоёмких отраслях). </w:t>
      </w:r>
    </w:p>
    <w:p w:rsidR="000F4B29" w:rsidRDefault="005D745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Для характеристики использования ОФ в статистике применяется целый ряд показателей:</w:t>
      </w:r>
    </w:p>
    <w:p w:rsidR="000F4B29" w:rsidRDefault="005D745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число оборотов, которое совершают ОС за опр. период времени (</w:t>
      </w:r>
      <w:r>
        <w:rPr>
          <w:color w:val="000000"/>
          <w:sz w:val="24"/>
          <w:szCs w:val="24"/>
          <w:lang w:val="en-US"/>
        </w:rPr>
        <w:t>n</w:t>
      </w:r>
      <w:r>
        <w:rPr>
          <w:color w:val="000000"/>
          <w:sz w:val="24"/>
          <w:szCs w:val="24"/>
        </w:rPr>
        <w:t>)</w:t>
      </w:r>
    </w:p>
    <w:p w:rsidR="000F4B29" w:rsidRDefault="005D745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продолжительность одного оборота в днях (</w:t>
      </w:r>
      <w:r>
        <w:rPr>
          <w:color w:val="000000"/>
          <w:sz w:val="24"/>
          <w:szCs w:val="24"/>
          <w:lang w:val="en-US"/>
        </w:rPr>
        <w:t>t</w:t>
      </w:r>
      <w:r>
        <w:rPr>
          <w:color w:val="000000"/>
          <w:sz w:val="24"/>
          <w:szCs w:val="24"/>
        </w:rPr>
        <w:t>)</w:t>
      </w:r>
    </w:p>
    <w:p w:rsidR="000F4B29" w:rsidRDefault="005D745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эк. эффект, полученный от ускорения оборачиваемости ОС (Э)</w:t>
      </w:r>
    </w:p>
    <w:p w:rsidR="000F4B29" w:rsidRDefault="005D745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материалоотдача – объём РП, приходящийся на 1 рубль ОС (Мотд.)</w:t>
      </w:r>
    </w:p>
    <w:p w:rsidR="000F4B29" w:rsidRDefault="005D745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материалоёмкость – ст-ть матер. затрат, приходящаяся на 1 рубль ТП или РП (Мёмк.)</w:t>
      </w:r>
    </w:p>
    <w:p w:rsidR="000F4B29" w:rsidRDefault="005D745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Пример:</w:t>
      </w:r>
    </w:p>
    <w:p w:rsidR="000F4B29" w:rsidRDefault="005D745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По данным предприятия известно:</w:t>
      </w:r>
    </w:p>
    <w:p w:rsidR="000F4B29" w:rsidRDefault="005D745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объём РП составил 1 млн. руб.</w:t>
      </w:r>
    </w:p>
    <w:p w:rsidR="000F4B29" w:rsidRDefault="005D745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среднегодовой остаток ОС – 200 тыс. руб. (Оос)</w:t>
      </w:r>
    </w:p>
    <w:p w:rsidR="000F4B29" w:rsidRDefault="005D745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Рассчитать показатели использования ОС.</w:t>
      </w:r>
    </w:p>
    <w:p w:rsidR="000F4B29" w:rsidRDefault="005D745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Число оборотов за год получается путём деления объёма РП на среднегодовой остаток ОС.</w:t>
      </w:r>
    </w:p>
    <w:p w:rsidR="000F4B29" w:rsidRDefault="005D745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lang w:val="en-US"/>
        </w:rPr>
        <w:t>n</w:t>
      </w:r>
      <w:r>
        <w:rPr>
          <w:color w:val="000000"/>
          <w:sz w:val="24"/>
          <w:szCs w:val="24"/>
        </w:rPr>
        <w:t xml:space="preserve"> = РП = 1000000 = 5</w:t>
      </w:r>
    </w:p>
    <w:p w:rsidR="000F4B29" w:rsidRDefault="005D745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Оос 200000 </w:t>
      </w:r>
    </w:p>
    <w:p w:rsidR="000F4B29" w:rsidRDefault="005D745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Продолжительность одного оборота в днях получается путём деления числа дней в периоде на число оборотов ОС</w:t>
      </w:r>
    </w:p>
    <w:p w:rsidR="000F4B29" w:rsidRDefault="005D7459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en-US"/>
        </w:rPr>
      </w:pPr>
      <w:r>
        <w:rPr>
          <w:color w:val="000000"/>
          <w:sz w:val="24"/>
          <w:szCs w:val="24"/>
          <w:lang w:val="en-US"/>
        </w:rPr>
        <w:t xml:space="preserve">t = </w:t>
      </w:r>
      <w:r>
        <w:rPr>
          <w:color w:val="000000"/>
          <w:sz w:val="24"/>
          <w:szCs w:val="24"/>
        </w:rPr>
        <w:t>Д</w:t>
      </w:r>
      <w:r>
        <w:rPr>
          <w:color w:val="000000"/>
          <w:sz w:val="24"/>
          <w:szCs w:val="24"/>
          <w:lang w:val="en-US"/>
        </w:rPr>
        <w:t xml:space="preserve"> = 365 = 73</w:t>
      </w:r>
    </w:p>
    <w:p w:rsidR="000F4B29" w:rsidRDefault="005D7459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en-US"/>
        </w:rPr>
      </w:pPr>
      <w:r>
        <w:rPr>
          <w:color w:val="000000"/>
          <w:sz w:val="24"/>
          <w:szCs w:val="24"/>
          <w:lang w:val="en-US"/>
        </w:rPr>
        <w:t xml:space="preserve">     n 5</w:t>
      </w:r>
    </w:p>
    <w:p w:rsidR="000F4B29" w:rsidRDefault="005D745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Эк. эффект, полученный от ускорения оборачиваемости ОС (например на 3 дня). Ускорение оборачиваемости ОС ведёт к быстрейшему высвобождению ден. ср-в из оборота, на которые вновь закупаются ОС. Таким образом увеличивается объём пр-ва и размер прибыли, полученной от реализации продукции. Получается путём умножения суммы дневной реализации на показатель изменения продолжительности одного оборота в днях .</w:t>
      </w:r>
    </w:p>
    <w:p w:rsidR="000F4B29" w:rsidRDefault="005D745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Эза 1 оборот = РП х (</w:t>
      </w:r>
      <w:r>
        <w:rPr>
          <w:color w:val="000000"/>
          <w:sz w:val="24"/>
          <w:szCs w:val="24"/>
          <w:lang w:val="en-US"/>
        </w:rPr>
        <w:t>t</w:t>
      </w:r>
      <w:r>
        <w:rPr>
          <w:color w:val="000000"/>
          <w:sz w:val="24"/>
          <w:szCs w:val="24"/>
        </w:rPr>
        <w:t xml:space="preserve"> - </w:t>
      </w:r>
      <w:r>
        <w:rPr>
          <w:color w:val="000000"/>
          <w:sz w:val="24"/>
          <w:szCs w:val="24"/>
          <w:lang w:val="en-US"/>
        </w:rPr>
        <w:t>t</w:t>
      </w:r>
      <w:r>
        <w:rPr>
          <w:color w:val="000000"/>
          <w:sz w:val="24"/>
          <w:szCs w:val="24"/>
        </w:rPr>
        <w:t xml:space="preserve"> ) = 1000000 х (73 - 70) = 8800 руб.</w:t>
      </w:r>
    </w:p>
    <w:p w:rsidR="000F4B29" w:rsidRDefault="005D745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Д  365</w:t>
      </w:r>
    </w:p>
    <w:p w:rsidR="000F4B29" w:rsidRDefault="005D745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Эобщ. эк. эффект = 8800 х 5 = 44000 руб.</w:t>
      </w:r>
    </w:p>
    <w:p w:rsidR="000F4B29" w:rsidRDefault="005D745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Материалоотдача получается путём деления объёма РП на среднегодовой остаток ОС.</w:t>
      </w:r>
    </w:p>
    <w:p w:rsidR="000F4B29" w:rsidRDefault="005D745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Мотд. = РП = 5 руб.</w:t>
      </w:r>
    </w:p>
    <w:p w:rsidR="000F4B29" w:rsidRDefault="005D745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Оос</w:t>
      </w:r>
    </w:p>
    <w:p w:rsidR="000F4B29" w:rsidRDefault="005D745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Показывает, что с каждого рубля, вложенного в оборотные ср-ва будем получать на 5 руб. РП. Чем больше РП будем получать с одного рубля ОС, тем эффективнее мы их используем.</w:t>
      </w:r>
    </w:p>
    <w:p w:rsidR="000F4B29" w:rsidRDefault="005D745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Материалоёмкость показывает размер матер. затрат, приходящихся на каждый рубль РП (или ТП). Получается путём деления ст-ти матер. затрат на ст-ть РП.</w:t>
      </w:r>
    </w:p>
    <w:p w:rsidR="000F4B29" w:rsidRDefault="005D745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Мёмк. = Осо</w:t>
      </w:r>
    </w:p>
    <w:p w:rsidR="000F4B29" w:rsidRDefault="005D745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РП</w:t>
      </w:r>
    </w:p>
    <w:p w:rsidR="000F4B29" w:rsidRDefault="005D745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Чем меньше будут матер. затраты в рубле ТП, тем эффективнее их используют.</w:t>
      </w:r>
    </w:p>
    <w:p w:rsidR="000F4B29" w:rsidRDefault="005D745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Для того, чтобы сокращать размер матер. затрат, следует снижать потери матер. ресурсов на стадиях доставки, хранения, переработки, следует стремиться внедрять безотходную технологию пр-ва.</w:t>
      </w:r>
    </w:p>
    <w:p w:rsidR="000F4B29" w:rsidRDefault="005D745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Расчёт среднегодового (среднеквартального) остатка ОС.</w:t>
      </w:r>
    </w:p>
    <w:p w:rsidR="000F4B29" w:rsidRDefault="005D745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Т.к. ОС учитываются с помощью показателя «ст-ть остатков ОС на конец и начало месяца на матер. складах предприятия», ст-ть остатков ОС ежемесячно изменяется. Поэтому возникает необходимость расчёта среднего остатка ОС за разные периоды времени. Этот показатель рассчитывается по формуле средней хронологической.</w:t>
      </w:r>
    </w:p>
    <w:tbl>
      <w:tblPr>
        <w:tblW w:w="8781" w:type="dxa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97"/>
        <w:gridCol w:w="1333"/>
        <w:gridCol w:w="1534"/>
        <w:gridCol w:w="1770"/>
        <w:gridCol w:w="1947"/>
      </w:tblGrid>
      <w:tr w:rsidR="000F4B29">
        <w:tc>
          <w:tcPr>
            <w:tcW w:w="2197" w:type="dxa"/>
          </w:tcPr>
          <w:p w:rsidR="000F4B29" w:rsidRDefault="005D7459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t</w:t>
            </w:r>
          </w:p>
        </w:tc>
        <w:tc>
          <w:tcPr>
            <w:tcW w:w="1333" w:type="dxa"/>
          </w:tcPr>
          <w:p w:rsidR="000F4B29" w:rsidRDefault="005D7459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1.01</w:t>
            </w:r>
          </w:p>
        </w:tc>
        <w:tc>
          <w:tcPr>
            <w:tcW w:w="1534" w:type="dxa"/>
          </w:tcPr>
          <w:p w:rsidR="000F4B29" w:rsidRDefault="005D7459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1.02</w:t>
            </w:r>
          </w:p>
        </w:tc>
        <w:tc>
          <w:tcPr>
            <w:tcW w:w="1770" w:type="dxa"/>
          </w:tcPr>
          <w:p w:rsidR="000F4B29" w:rsidRDefault="005D7459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1.03</w:t>
            </w:r>
          </w:p>
        </w:tc>
        <w:tc>
          <w:tcPr>
            <w:tcW w:w="1947" w:type="dxa"/>
          </w:tcPr>
          <w:p w:rsidR="000F4B29" w:rsidRDefault="005D7459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1.04</w:t>
            </w:r>
          </w:p>
        </w:tc>
      </w:tr>
      <w:tr w:rsidR="000F4B29">
        <w:tc>
          <w:tcPr>
            <w:tcW w:w="2197" w:type="dxa"/>
          </w:tcPr>
          <w:p w:rsidR="000F4B29" w:rsidRDefault="000F4B29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333" w:type="dxa"/>
          </w:tcPr>
          <w:p w:rsidR="000F4B29" w:rsidRDefault="005D7459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О(1)</w:t>
            </w:r>
          </w:p>
        </w:tc>
        <w:tc>
          <w:tcPr>
            <w:tcW w:w="1534" w:type="dxa"/>
          </w:tcPr>
          <w:p w:rsidR="000F4B29" w:rsidRDefault="005D7459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О(2)</w:t>
            </w:r>
          </w:p>
        </w:tc>
        <w:tc>
          <w:tcPr>
            <w:tcW w:w="1770" w:type="dxa"/>
          </w:tcPr>
          <w:p w:rsidR="000F4B29" w:rsidRDefault="005D7459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О(3)</w:t>
            </w:r>
          </w:p>
        </w:tc>
        <w:tc>
          <w:tcPr>
            <w:tcW w:w="1947" w:type="dxa"/>
          </w:tcPr>
          <w:p w:rsidR="000F4B29" w:rsidRDefault="005D7459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О(4)</w:t>
            </w:r>
          </w:p>
        </w:tc>
      </w:tr>
      <w:tr w:rsidR="000F4B29">
        <w:tc>
          <w:tcPr>
            <w:tcW w:w="2197" w:type="dxa"/>
          </w:tcPr>
          <w:p w:rsidR="000F4B29" w:rsidRDefault="005D7459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Остатки материальных ценностей, тыс. руб.</w:t>
            </w:r>
          </w:p>
        </w:tc>
        <w:tc>
          <w:tcPr>
            <w:tcW w:w="1333" w:type="dxa"/>
          </w:tcPr>
          <w:p w:rsidR="000F4B29" w:rsidRDefault="000F4B29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  <w:p w:rsidR="000F4B29" w:rsidRDefault="005D7459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185</w:t>
            </w:r>
          </w:p>
        </w:tc>
        <w:tc>
          <w:tcPr>
            <w:tcW w:w="1534" w:type="dxa"/>
          </w:tcPr>
          <w:p w:rsidR="000F4B29" w:rsidRDefault="000F4B29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  <w:p w:rsidR="000F4B29" w:rsidRDefault="005D7459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205</w:t>
            </w:r>
          </w:p>
        </w:tc>
        <w:tc>
          <w:tcPr>
            <w:tcW w:w="1770" w:type="dxa"/>
          </w:tcPr>
          <w:p w:rsidR="000F4B29" w:rsidRDefault="000F4B29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  <w:p w:rsidR="000F4B29" w:rsidRDefault="005D7459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208</w:t>
            </w:r>
          </w:p>
        </w:tc>
        <w:tc>
          <w:tcPr>
            <w:tcW w:w="1947" w:type="dxa"/>
          </w:tcPr>
          <w:p w:rsidR="000F4B29" w:rsidRDefault="000F4B29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  <w:p w:rsidR="000F4B29" w:rsidRDefault="005D7459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189</w:t>
            </w:r>
          </w:p>
        </w:tc>
      </w:tr>
    </w:tbl>
    <w:p w:rsidR="000F4B29" w:rsidRDefault="005D745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Рассчитать среднеквартальный остаток ОС.</w:t>
      </w:r>
    </w:p>
    <w:p w:rsidR="000F4B29" w:rsidRDefault="005D745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Оос = 1/2О(1) + О(2) + О(3) + 1/2О(4) = 185/2 + 205 + 208 + 189/2 = 200 тыс. руб.</w:t>
      </w:r>
    </w:p>
    <w:p w:rsidR="000F4B29" w:rsidRDefault="005D745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(</w:t>
      </w:r>
      <w:r>
        <w:rPr>
          <w:color w:val="000000"/>
          <w:sz w:val="24"/>
          <w:szCs w:val="24"/>
          <w:lang w:val="en-US"/>
        </w:rPr>
        <w:t>n</w:t>
      </w:r>
      <w:r>
        <w:rPr>
          <w:color w:val="000000"/>
          <w:sz w:val="24"/>
          <w:szCs w:val="24"/>
        </w:rPr>
        <w:t xml:space="preserve"> - 1)   (4-1)</w:t>
      </w:r>
    </w:p>
    <w:p w:rsidR="000F4B29" w:rsidRDefault="000F4B29">
      <w:pPr>
        <w:widowControl w:val="0"/>
        <w:spacing w:before="120"/>
        <w:ind w:firstLine="590"/>
        <w:jc w:val="both"/>
        <w:rPr>
          <w:color w:val="000000"/>
          <w:sz w:val="24"/>
          <w:szCs w:val="24"/>
        </w:rPr>
      </w:pPr>
      <w:bookmarkStart w:id="0" w:name="_GoBack"/>
      <w:bookmarkEnd w:id="0"/>
    </w:p>
    <w:sectPr w:rsidR="000F4B29">
      <w:pgSz w:w="11906" w:h="16838"/>
      <w:pgMar w:top="1134" w:right="1134" w:bottom="1134" w:left="1134" w:header="1440" w:footer="1440" w:gutter="0"/>
      <w:cols w:space="720"/>
      <w:noEndnote/>
      <w:docGrid w:linePitch="8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20"/>
  <w:drawingGridHorizontalSpacing w:val="59"/>
  <w:drawingGridVerticalSpacing w:val="40"/>
  <w:displayHorizontalDrawingGridEvery w:val="0"/>
  <w:displayVerticalDrawingGridEvery w:val="2"/>
  <w:characterSpacingControl w:val="doNotCompress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D7459"/>
    <w:rsid w:val="000F4B29"/>
    <w:rsid w:val="005C19AF"/>
    <w:rsid w:val="005D7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279DC44B-C39C-4BAE-8BB2-2975E9472E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pPr>
      <w:keepNext/>
      <w:outlineLvl w:val="0"/>
    </w:pPr>
    <w:rPr>
      <w:b/>
      <w:bCs/>
      <w:color w:val="00FF00"/>
      <w:sz w:val="96"/>
      <w:szCs w:val="96"/>
    </w:rPr>
  </w:style>
  <w:style w:type="paragraph" w:styleId="2">
    <w:name w:val="heading 2"/>
    <w:basedOn w:val="a"/>
    <w:next w:val="a"/>
    <w:link w:val="20"/>
    <w:uiPriority w:val="99"/>
    <w:qFormat/>
    <w:pPr>
      <w:keepNext/>
      <w:outlineLvl w:val="1"/>
    </w:pPr>
    <w:rPr>
      <w:sz w:val="52"/>
      <w:szCs w:val="52"/>
    </w:rPr>
  </w:style>
  <w:style w:type="paragraph" w:styleId="3">
    <w:name w:val="heading 3"/>
    <w:basedOn w:val="a"/>
    <w:next w:val="a"/>
    <w:link w:val="30"/>
    <w:uiPriority w:val="99"/>
    <w:qFormat/>
    <w:pPr>
      <w:keepNext/>
      <w:outlineLvl w:val="2"/>
    </w:pPr>
    <w:rPr>
      <w:u w:val="single"/>
    </w:rPr>
  </w:style>
  <w:style w:type="paragraph" w:styleId="4">
    <w:name w:val="heading 4"/>
    <w:basedOn w:val="a"/>
    <w:next w:val="a"/>
    <w:link w:val="40"/>
    <w:uiPriority w:val="99"/>
    <w:qFormat/>
    <w:pPr>
      <w:keepNext/>
      <w:outlineLvl w:val="3"/>
    </w:pPr>
    <w:rPr>
      <w:b/>
      <w:bCs/>
      <w:color w:val="00FFFF"/>
      <w:sz w:val="22"/>
      <w:szCs w:val="22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Pr>
      <w:b/>
      <w:bCs/>
      <w:sz w:val="28"/>
      <w:szCs w:val="28"/>
    </w:rPr>
  </w:style>
  <w:style w:type="paragraph" w:styleId="a3">
    <w:name w:val="Body Text"/>
    <w:basedOn w:val="a"/>
    <w:link w:val="a4"/>
    <w:uiPriority w:val="99"/>
    <w:rPr>
      <w:sz w:val="22"/>
      <w:szCs w:val="22"/>
    </w:rPr>
  </w:style>
  <w:style w:type="character" w:customStyle="1" w:styleId="a4">
    <w:name w:val="Основной текст Знак"/>
    <w:basedOn w:val="a0"/>
    <w:link w:val="a3"/>
    <w:uiPriority w:val="99"/>
    <w:semiHidden/>
    <w:rPr>
      <w:rFonts w:ascii="Times New Roman" w:hAnsi="Times New Roman" w:cs="Times New Roman"/>
      <w:sz w:val="20"/>
      <w:szCs w:val="20"/>
    </w:rPr>
  </w:style>
  <w:style w:type="paragraph" w:styleId="21">
    <w:name w:val="Body Text 2"/>
    <w:basedOn w:val="a"/>
    <w:link w:val="22"/>
    <w:uiPriority w:val="99"/>
    <w:pPr>
      <w:jc w:val="both"/>
    </w:pPr>
    <w:rPr>
      <w:sz w:val="18"/>
      <w:szCs w:val="18"/>
    </w:rPr>
  </w:style>
  <w:style w:type="character" w:customStyle="1" w:styleId="22">
    <w:name w:val="Основной текст 2 Знак"/>
    <w:basedOn w:val="a0"/>
    <w:link w:val="21"/>
    <w:uiPriority w:val="99"/>
    <w:semiHidden/>
    <w:rPr>
      <w:rFonts w:ascii="Times New Roman" w:hAnsi="Times New Roman" w:cs="Times New Roman"/>
      <w:sz w:val="20"/>
      <w:szCs w:val="20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Pr>
      <w:rFonts w:ascii="Times New Roman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pPr>
      <w:tabs>
        <w:tab w:val="center" w:pos="4153"/>
        <w:tab w:val="right" w:pos="8306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Pr>
      <w:rFonts w:ascii="Times New Roman" w:hAnsi="Times New Roman" w:cs="Times New Roman"/>
      <w:sz w:val="20"/>
      <w:szCs w:val="20"/>
    </w:rPr>
  </w:style>
  <w:style w:type="character" w:styleId="a9">
    <w:name w:val="page number"/>
    <w:basedOn w:val="a0"/>
    <w:uiPriority w:val="99"/>
  </w:style>
  <w:style w:type="paragraph" w:styleId="aa">
    <w:name w:val="Document Map"/>
    <w:basedOn w:val="a"/>
    <w:link w:val="ab"/>
    <w:uiPriority w:val="99"/>
    <w:pPr>
      <w:shd w:val="clear" w:color="auto" w:fill="000080"/>
    </w:pPr>
    <w:rPr>
      <w:rFonts w:ascii="Tahoma" w:hAnsi="Tahoma" w:cs="Tahoma"/>
    </w:rPr>
  </w:style>
  <w:style w:type="character" w:customStyle="1" w:styleId="ab">
    <w:name w:val="Схема документа Знак"/>
    <w:basedOn w:val="a0"/>
    <w:link w:val="aa"/>
    <w:uiPriority w:val="99"/>
    <w:semiHidden/>
    <w:rPr>
      <w:rFonts w:ascii="Segoe UI" w:hAnsi="Segoe UI" w:cs="Segoe UI"/>
      <w:sz w:val="16"/>
      <w:szCs w:val="16"/>
    </w:rPr>
  </w:style>
  <w:style w:type="paragraph" w:styleId="31">
    <w:name w:val="Body Text 3"/>
    <w:basedOn w:val="a"/>
    <w:link w:val="32"/>
    <w:uiPriority w:val="99"/>
    <w:pPr>
      <w:jc w:val="both"/>
    </w:pPr>
    <w:rPr>
      <w:sz w:val="18"/>
      <w:szCs w:val="18"/>
      <w:u w:val="single"/>
    </w:rPr>
  </w:style>
  <w:style w:type="character" w:customStyle="1" w:styleId="32">
    <w:name w:val="Основной текст 3 Знак"/>
    <w:basedOn w:val="a0"/>
    <w:link w:val="31"/>
    <w:uiPriority w:val="99"/>
    <w:semiHidden/>
    <w:rPr>
      <w:rFonts w:ascii="Times New Roman" w:hAnsi="Times New Roman" w:cs="Times New Roman"/>
      <w:sz w:val="16"/>
      <w:szCs w:val="16"/>
    </w:rPr>
  </w:style>
  <w:style w:type="character" w:styleId="ac">
    <w:name w:val="Hyperlink"/>
    <w:basedOn w:val="a0"/>
    <w:uiPriority w:val="9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1000</Words>
  <Characters>5701</Characters>
  <Application>Microsoft Office Word</Application>
  <DocSecurity>0</DocSecurity>
  <Lines>47</Lines>
  <Paragraphs>13</Paragraphs>
  <ScaleCrop>false</ScaleCrop>
  <Company>PERSONAL COMPUTERS</Company>
  <LinksUpToDate>false</LinksUpToDate>
  <CharactersWithSpaces>6688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СТАТИСТИКА ОБОРОТНЫХ СРЕДСТВ</dc:title>
  <dc:subject/>
  <dc:creator>USER</dc:creator>
  <cp:keywords/>
  <dc:description/>
  <cp:lastModifiedBy>admin</cp:lastModifiedBy>
  <cp:revision>2</cp:revision>
  <dcterms:created xsi:type="dcterms:W3CDTF">2014-01-30T15:04:00Z</dcterms:created>
  <dcterms:modified xsi:type="dcterms:W3CDTF">2014-01-30T15:04:00Z</dcterms:modified>
</cp:coreProperties>
</file>