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52" w:rsidRDefault="00610752" w:rsidP="00BA7B77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План     </w:t>
      </w:r>
    </w:p>
    <w:p w:rsidR="00610752" w:rsidRDefault="00610752" w:rsidP="00BA7B77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outlineLvl w:val="0"/>
        <w:rPr>
          <w:noProof/>
        </w:rPr>
      </w:pPr>
    </w:p>
    <w:p w:rsidR="00610752" w:rsidRPr="003F7A3E" w:rsidRDefault="00610752" w:rsidP="00BA7B77">
      <w:pPr>
        <w:pStyle w:val="1"/>
        <w:tabs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785515">
        <w:rPr>
          <w:rStyle w:val="a6"/>
          <w:noProof/>
          <w:sz w:val="28"/>
          <w:szCs w:val="28"/>
          <w:lang w:val="uk-UA"/>
        </w:rPr>
        <w:t>Маастрихстські та Копенгагенські критерії членства в ЄС</w:t>
      </w:r>
      <w:r w:rsidRPr="003F7A3E">
        <w:rPr>
          <w:noProof/>
          <w:webHidden/>
          <w:sz w:val="28"/>
          <w:szCs w:val="28"/>
        </w:rPr>
        <w:tab/>
      </w:r>
      <w:r w:rsidR="003F7A3E" w:rsidRPr="003F7A3E">
        <w:rPr>
          <w:noProof/>
          <w:webHidden/>
          <w:sz w:val="28"/>
          <w:szCs w:val="28"/>
        </w:rPr>
        <w:t>2</w:t>
      </w:r>
    </w:p>
    <w:p w:rsidR="00610752" w:rsidRPr="003F7A3E" w:rsidRDefault="00610752" w:rsidP="00BA7B77">
      <w:pPr>
        <w:pStyle w:val="1"/>
        <w:tabs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785515">
        <w:rPr>
          <w:rStyle w:val="a6"/>
          <w:noProof/>
          <w:sz w:val="28"/>
          <w:szCs w:val="28"/>
          <w:lang w:val="uk-UA"/>
        </w:rPr>
        <w:t>Список використаної літератури</w:t>
      </w:r>
      <w:r w:rsidRPr="003F7A3E">
        <w:rPr>
          <w:noProof/>
          <w:webHidden/>
          <w:sz w:val="28"/>
          <w:szCs w:val="28"/>
        </w:rPr>
        <w:tab/>
      </w:r>
      <w:r w:rsidR="003F7A3E" w:rsidRPr="003F7A3E">
        <w:rPr>
          <w:noProof/>
          <w:webHidden/>
          <w:sz w:val="28"/>
          <w:szCs w:val="28"/>
        </w:rPr>
        <w:t>7</w:t>
      </w:r>
    </w:p>
    <w:p w:rsidR="00610752" w:rsidRDefault="00610752" w:rsidP="00BA7B77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</w:p>
    <w:p w:rsidR="00686862" w:rsidRDefault="00610752" w:rsidP="00BA7B77">
      <w:pPr>
        <w:shd w:val="clear" w:color="auto" w:fill="FFFFFF"/>
        <w:tabs>
          <w:tab w:val="left" w:pos="1080"/>
        </w:tabs>
        <w:spacing w:line="360" w:lineRule="auto"/>
        <w:ind w:left="360" w:firstLine="709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bookmarkStart w:id="0" w:name="_Toc199204292"/>
      <w:r w:rsidR="00CF6B44" w:rsidRPr="00610752">
        <w:rPr>
          <w:b/>
          <w:color w:val="000000"/>
          <w:sz w:val="28"/>
          <w:szCs w:val="28"/>
          <w:lang w:val="uk-UA"/>
        </w:rPr>
        <w:t>Маастрих</w:t>
      </w:r>
      <w:r w:rsidR="00EF3918" w:rsidRPr="00610752">
        <w:rPr>
          <w:b/>
          <w:color w:val="000000"/>
          <w:sz w:val="28"/>
          <w:szCs w:val="28"/>
          <w:lang w:val="uk-UA"/>
        </w:rPr>
        <w:t>с</w:t>
      </w:r>
      <w:r w:rsidR="00CF6B44" w:rsidRPr="00610752">
        <w:rPr>
          <w:b/>
          <w:color w:val="000000"/>
          <w:sz w:val="28"/>
          <w:szCs w:val="28"/>
          <w:lang w:val="uk-UA"/>
        </w:rPr>
        <w:t xml:space="preserve">тські та </w:t>
      </w:r>
      <w:r w:rsidRPr="00610752">
        <w:rPr>
          <w:b/>
          <w:color w:val="000000"/>
          <w:sz w:val="28"/>
          <w:szCs w:val="28"/>
          <w:lang w:val="uk-UA"/>
        </w:rPr>
        <w:t>К</w:t>
      </w:r>
      <w:r w:rsidR="00CF6B44" w:rsidRPr="00610752">
        <w:rPr>
          <w:b/>
          <w:color w:val="000000"/>
          <w:sz w:val="28"/>
          <w:szCs w:val="28"/>
          <w:lang w:val="uk-UA"/>
        </w:rPr>
        <w:t>опенгагенські критерії членства в ЄС</w:t>
      </w:r>
      <w:bookmarkEnd w:id="0"/>
    </w:p>
    <w:p w:rsidR="00610752" w:rsidRPr="00610752" w:rsidRDefault="00610752" w:rsidP="00BA7B77">
      <w:pPr>
        <w:shd w:val="clear" w:color="auto" w:fill="FFFFFF"/>
        <w:tabs>
          <w:tab w:val="left" w:pos="1080"/>
        </w:tabs>
        <w:spacing w:line="360" w:lineRule="auto"/>
        <w:ind w:left="360" w:firstLine="709"/>
        <w:jc w:val="center"/>
        <w:outlineLvl w:val="0"/>
        <w:rPr>
          <w:b/>
          <w:color w:val="000000"/>
          <w:sz w:val="28"/>
          <w:szCs w:val="28"/>
          <w:lang w:val="uk-UA"/>
        </w:rPr>
      </w:pPr>
    </w:p>
    <w:p w:rsidR="00517A3B" w:rsidRPr="001D6B15" w:rsidRDefault="00517A3B" w:rsidP="00BA7B77">
      <w:pPr>
        <w:pStyle w:val="a7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6B1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Маастрихтська угода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</w:t>
      </w:r>
      <w:r w:rsidRPr="001D6B1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Маастрихтський Трактат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(формально, </w:t>
      </w:r>
      <w:r w:rsidRPr="001D6B1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Угода про утворення Європейського Союзу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також відомий, як Угода (Договір) про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Європейський Союз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(Договір про ЄС, ДЄС), була підписана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7 лютого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1992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в місті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Маастрихт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Нідерланди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між членами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Європейська спільнота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вступила в силу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1 листопада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1993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Це призвело до утворення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Європейського Союзу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>. Угода була результатом окремих консультацій стосовно політичного і валютного союзів.</w:t>
      </w:r>
    </w:p>
    <w:p w:rsidR="00517A3B" w:rsidRPr="001D6B15" w:rsidRDefault="00517A3B" w:rsidP="00BA7B77">
      <w:pPr>
        <w:pStyle w:val="a7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Маастрихтська угода призвела до утворення валюти </w:t>
      </w:r>
      <w:r w:rsidRPr="00610752">
        <w:rPr>
          <w:rFonts w:ascii="Times New Roman" w:hAnsi="Times New Roman" w:cs="Times New Roman"/>
          <w:color w:val="000000"/>
          <w:sz w:val="28"/>
          <w:szCs w:val="28"/>
          <w:lang w:val="uk-UA"/>
        </w:rPr>
        <w:t>євро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започаткувала структуру на трьох засадах (</w:t>
      </w:r>
      <w:r w:rsidRPr="0061075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англ.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D6B15">
        <w:rPr>
          <w:rFonts w:ascii="Times New Roman" w:hAnsi="Times New Roman" w:cs="Times New Roman"/>
          <w:iCs/>
          <w:color w:val="000000"/>
          <w:sz w:val="28"/>
          <w:szCs w:val="28"/>
          <w:lang w:val="en"/>
        </w:rPr>
        <w:t>three</w:t>
      </w:r>
      <w:r w:rsidRPr="001D6B1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-</w:t>
      </w:r>
      <w:r w:rsidRPr="001D6B15">
        <w:rPr>
          <w:rFonts w:ascii="Times New Roman" w:hAnsi="Times New Roman" w:cs="Times New Roman"/>
          <w:iCs/>
          <w:color w:val="000000"/>
          <w:sz w:val="28"/>
          <w:szCs w:val="28"/>
          <w:lang w:val="en"/>
        </w:rPr>
        <w:t>pillar</w:t>
      </w:r>
      <w:r w:rsidRPr="001D6B1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1D6B15">
        <w:rPr>
          <w:rFonts w:ascii="Times New Roman" w:hAnsi="Times New Roman" w:cs="Times New Roman"/>
          <w:iCs/>
          <w:color w:val="000000"/>
          <w:sz w:val="28"/>
          <w:szCs w:val="28"/>
          <w:lang w:val="en"/>
        </w:rPr>
        <w:t>structure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Економічні і Соціально-політичні засади, Загальні зовнішні засади і засади безпеки, Правові і внутрішні </w:t>
      </w:r>
      <w:r w:rsidR="00610752" w:rsidRPr="006107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Засади) </w:t>
      </w:r>
      <w:r w:rsidR="00610752" w:rsidRPr="0061075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[3, 69]</w:t>
      </w:r>
      <w:r w:rsidR="00610752" w:rsidRPr="0061075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17A3B" w:rsidRPr="001D6B15" w:rsidRDefault="00517A3B" w:rsidP="00BA7B77">
      <w:pPr>
        <w:pStyle w:val="a7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>Угода запровадила також назву "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Європейський Союз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”; останній об’єднав наднаціональну Спільноту і два міждержавних «стовпи» політичної співпраці: спільну зовнішню політику та політику безпеки і співпрацю в галузі правосуддя та внутрішніх справ. Крім того, Угода запровадила посаду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європейського омбудсмена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Комітет регіонів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процедуру спільного ухвалювання рішень, а також розширила сферу застосування процедури голосування кваліфікованою більшістю. Ратифікація Угоди про ЄС наразилася на значні перешкоди в деяких країнах Союзу. Зокрема, референдум у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Данії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1992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відкинув її; лише повторний референдум наступного року відкрив шлях до ратифікації Угоди.</w:t>
      </w:r>
    </w:p>
    <w:p w:rsidR="00517A3B" w:rsidRPr="001D6B15" w:rsidRDefault="00517A3B" w:rsidP="00BA7B77">
      <w:pPr>
        <w:pStyle w:val="a7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Спочатку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Європейська Спільнота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переймалася загалом економікою та торгівлею. Відомі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Європейська Комісія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Європейський суд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обидва формально незалежні від урядів країн цієї спільноти, маючи багато повноважень всередині країн-членів. 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Європейський парламент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який обирається безпосередньо громадянами членами Європейської спільноти також має певний вплив. Спочатку ці структури якось контролювалися державами-учасниками але від середини 80-х все вирішується більшістю на голосуванні в Європарламенті. Ця система отримала назву Громадянський спосіб (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англ.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D6B15">
        <w:rPr>
          <w:rFonts w:ascii="Times New Roman" w:hAnsi="Times New Roman" w:cs="Times New Roman"/>
          <w:iCs/>
          <w:color w:val="000000"/>
          <w:sz w:val="28"/>
          <w:szCs w:val="28"/>
          <w:lang w:val="en"/>
        </w:rPr>
        <w:t>Community</w:t>
      </w:r>
      <w:r w:rsidRPr="00517A3B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1D6B15">
        <w:rPr>
          <w:rFonts w:ascii="Times New Roman" w:hAnsi="Times New Roman" w:cs="Times New Roman"/>
          <w:iCs/>
          <w:color w:val="000000"/>
          <w:sz w:val="28"/>
          <w:szCs w:val="28"/>
          <w:lang w:val="en"/>
        </w:rPr>
        <w:t>method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або </w:t>
      </w:r>
      <w:r w:rsidRPr="001D6B1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супранаціоналізм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517A3B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англ.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D6B15">
        <w:rPr>
          <w:rFonts w:ascii="Times New Roman" w:hAnsi="Times New Roman" w:cs="Times New Roman"/>
          <w:iCs/>
          <w:color w:val="000000"/>
          <w:sz w:val="28"/>
          <w:szCs w:val="28"/>
          <w:lang w:val="en"/>
        </w:rPr>
        <w:t>supranationalism</w:t>
      </w: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тому як впливові інтернаціональні організації вже не контролюються безпосередньо урядами країн, і деякі учасники мають виконувати резолюції, які прийняли більшістю </w:t>
      </w:r>
      <w:r w:rsidRPr="0061075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голосів</w:t>
      </w:r>
      <w:r w:rsidR="00610752" w:rsidRPr="006107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10752" w:rsidRPr="0061075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[1, 180]</w:t>
      </w:r>
      <w:r w:rsidRPr="0061075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17A3B" w:rsidRPr="001D6B15" w:rsidRDefault="00517A3B" w:rsidP="00BA7B77">
      <w:pPr>
        <w:pStyle w:val="a7"/>
        <w:shd w:val="clear" w:color="auto" w:fill="FC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6B1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Спочатку були наміри делегувати більшу відповідальність у зовнішній політиці, військовій галузі і судочинстві до ЄС. Але під тиском багатьох країн-членів вирішили не робити цього, залишивши ці повноваження за національними урядами.</w:t>
      </w:r>
    </w:p>
    <w:p w:rsidR="00CF6B44" w:rsidRPr="00EF3918" w:rsidRDefault="00CF6B44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color w:val="000000"/>
          <w:sz w:val="28"/>
          <w:szCs w:val="28"/>
        </w:rPr>
        <w:t xml:space="preserve">Як відомо, критерії членства в ЄС було сформульовано для країн Центральної та Східної Європи на Копенгагенському засіданні Європейської Ради в червні 1993 року. </w:t>
      </w:r>
    </w:p>
    <w:p w:rsidR="00CF6B44" w:rsidRPr="00EF3918" w:rsidRDefault="00CF6B44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color w:val="000000"/>
          <w:sz w:val="28"/>
          <w:szCs w:val="28"/>
        </w:rPr>
        <w:t xml:space="preserve">Цими критеріями є: </w:t>
      </w:r>
    </w:p>
    <w:p w:rsidR="00CF6B44" w:rsidRPr="00EF3918" w:rsidRDefault="00CF6B44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color w:val="000000"/>
          <w:sz w:val="28"/>
          <w:szCs w:val="28"/>
        </w:rPr>
        <w:t xml:space="preserve">1) досягнення стабільності інституцій, котрі ґарантують демократію, верховенство права, права людини, дотримання і захист прав меншин (т.зв. політичний критерій); </w:t>
      </w:r>
    </w:p>
    <w:p w:rsidR="00CF6B44" w:rsidRPr="00EF3918" w:rsidRDefault="00CF6B44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color w:val="000000"/>
          <w:sz w:val="28"/>
          <w:szCs w:val="28"/>
        </w:rPr>
        <w:t>2) існування функціонуючої ринкової економіки, а також здатність витримувати конкурентний тиск та дію ринкових сил у межах ЄС («економічний критерій»);</w:t>
      </w:r>
    </w:p>
    <w:p w:rsidR="00CF6B44" w:rsidRPr="00EF3918" w:rsidRDefault="00CF6B44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color w:val="000000"/>
          <w:sz w:val="28"/>
          <w:szCs w:val="28"/>
        </w:rPr>
        <w:t xml:space="preserve">3) спроможність взяти на себе зобов'язання, що випливають з членства, у тому числі дотримуватись цілей політичного, економічного та монетарного союзу шляхом приведення національної системи законодавства у відповідність до </w:t>
      </w:r>
      <w:r w:rsidRPr="00EF3918">
        <w:rPr>
          <w:iCs/>
          <w:color w:val="000000"/>
          <w:sz w:val="28"/>
          <w:szCs w:val="28"/>
        </w:rPr>
        <w:t>acquis communautaire</w:t>
      </w:r>
      <w:r w:rsidRPr="00EF3918">
        <w:rPr>
          <w:color w:val="000000"/>
          <w:sz w:val="28"/>
          <w:szCs w:val="28"/>
        </w:rPr>
        <w:t xml:space="preserve"> («юридичний критерій»).</w:t>
      </w:r>
    </w:p>
    <w:p w:rsidR="00CF6B44" w:rsidRPr="00EF3918" w:rsidRDefault="00CF6B44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color w:val="000000"/>
          <w:sz w:val="28"/>
          <w:szCs w:val="28"/>
        </w:rPr>
        <w:t>Ці критерії не є вичерпними, оскільки існує ще критерій внутрішньої спроможності ЄС «поглинути» нового члена, а також географічний критерій, адже членом ЄС може стати лише «європейська країна».</w:t>
      </w:r>
    </w:p>
    <w:p w:rsidR="00CF6B44" w:rsidRPr="00EF3918" w:rsidRDefault="00CF6B44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bCs/>
          <w:color w:val="000000"/>
          <w:sz w:val="28"/>
          <w:szCs w:val="28"/>
        </w:rPr>
        <w:t>Первинною умовою початку переговорів про вступ до ЄС є відповідність політичному критерію членства</w:t>
      </w:r>
      <w:r w:rsidRPr="00EF3918">
        <w:rPr>
          <w:color w:val="000000"/>
          <w:sz w:val="28"/>
          <w:szCs w:val="28"/>
        </w:rPr>
        <w:t xml:space="preserve">, а приведення національного законодавства у відповідність до </w:t>
      </w:r>
      <w:r w:rsidRPr="00EF3918">
        <w:rPr>
          <w:iCs/>
          <w:color w:val="000000"/>
          <w:sz w:val="28"/>
          <w:szCs w:val="28"/>
        </w:rPr>
        <w:t>acquis communautaire</w:t>
      </w:r>
      <w:r w:rsidRPr="00EF3918">
        <w:rPr>
          <w:color w:val="000000"/>
          <w:sz w:val="28"/>
          <w:szCs w:val="28"/>
        </w:rPr>
        <w:t xml:space="preserve"> здійснюється в останні роки перед безпосереднім вступом держави до ЄС у ході переговорів про приєднання. Підтвердженням цьому є стаття 49 Договору про Європейський Союз, де встановлено, що «Будь-яка європейська держава, що шанує принципи, сформульовані в частині першій статті 6, може звернутися з поданням щодо набуття членства в Союзі». Такими принципами є засадничі принципи Союзу, спільні для всіх держав-членів, а саме свобода, демократія, шанування прав людини і основоположних свобод, верховенство права. Те, що дотримання політичного критерію є «передумовою початку переговорів про вступ» було підтверджено на засіданнях Європейської Ради в Люксембурзі (1997 рік) та Гельсінкі (1999 рік). </w:t>
      </w:r>
    </w:p>
    <w:p w:rsidR="00CF6B44" w:rsidRPr="00EF3918" w:rsidRDefault="00CF6B44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color w:val="000000"/>
          <w:sz w:val="28"/>
          <w:szCs w:val="28"/>
        </w:rPr>
        <w:t xml:space="preserve">Звідси випливає </w:t>
      </w:r>
      <w:r w:rsidRPr="00EF3918">
        <w:rPr>
          <w:bCs/>
          <w:color w:val="000000"/>
          <w:sz w:val="28"/>
          <w:szCs w:val="28"/>
        </w:rPr>
        <w:t>пріоритетність досягнення відповідності політичному копенгагенському критерію</w:t>
      </w:r>
      <w:r w:rsidRPr="00EF3918">
        <w:rPr>
          <w:color w:val="000000"/>
          <w:sz w:val="28"/>
          <w:szCs w:val="28"/>
        </w:rPr>
        <w:t xml:space="preserve">, а не критерію, досягнення якого буде необхідним під час виконання узгоджених умов вступу до ЄС. </w:t>
      </w:r>
      <w:r w:rsidRPr="00EF3918">
        <w:rPr>
          <w:bCs/>
          <w:color w:val="000000"/>
          <w:sz w:val="28"/>
          <w:szCs w:val="28"/>
        </w:rPr>
        <w:t>Разом з тим, слід продовжувати роботу в напрямі досягнення економічного та юридичного критеріїв, зокрема необхідно продовжувати здійснювати адаптацію законодавства України до законодавства ЄС</w:t>
      </w:r>
      <w:r w:rsidR="00610752">
        <w:rPr>
          <w:bCs/>
          <w:color w:val="000000"/>
          <w:sz w:val="28"/>
          <w:szCs w:val="28"/>
          <w:lang w:val="uk-UA"/>
        </w:rPr>
        <w:t xml:space="preserve"> [2, 119]</w:t>
      </w:r>
      <w:r w:rsidRPr="00EF3918">
        <w:rPr>
          <w:bCs/>
          <w:color w:val="000000"/>
          <w:sz w:val="28"/>
          <w:szCs w:val="28"/>
        </w:rPr>
        <w:t xml:space="preserve">. </w:t>
      </w:r>
    </w:p>
    <w:p w:rsidR="00CF6B44" w:rsidRPr="00EF3918" w:rsidRDefault="00CF6B44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color w:val="000000"/>
          <w:sz w:val="28"/>
          <w:szCs w:val="28"/>
        </w:rPr>
        <w:t xml:space="preserve">Відповідно до статті 10 Вашингтонського договору (Північноатлантичний договір), на членство в Альянсі може претендувати «будь-яка європейська держава, яка здатна поширювати принципи цього договору та сприяти підтриманню безпеки у північноатлантичному регіоні». Цими принципами, викладеними в Преамбулі Вашингтонського договору, є: демократія, індивідуальна свобода та верховенство права. </w:t>
      </w:r>
    </w:p>
    <w:p w:rsidR="00EF3918" w:rsidRDefault="007A34F6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</w:rPr>
        <w:t xml:space="preserve">Відносини України з ЄС наразі регулюються </w:t>
      </w:r>
      <w:r w:rsidRPr="00EF3918">
        <w:rPr>
          <w:iCs/>
          <w:color w:val="000000"/>
          <w:sz w:val="28"/>
          <w:szCs w:val="28"/>
        </w:rPr>
        <w:t>Угодою про партнерство та співробітництво між Європейськими співтовариствами і Україною</w:t>
      </w:r>
      <w:r w:rsidRPr="00EF3918">
        <w:rPr>
          <w:color w:val="000000"/>
          <w:sz w:val="28"/>
          <w:szCs w:val="28"/>
        </w:rPr>
        <w:t xml:space="preserve"> 1994 року (УПС), відповідно до статті 51 якої Україна зобов'язалась вживати заходів «для забезпечення того, щоб її законодавство поступово було приведене у відповідність до законодавства Співтовариства». Угодою також визначено перелік з 16 сфер, у яких має бути досягнуто «приблизної адекватності» законів. Цими сферами є: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митне право;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законодавство про компанії;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банківське право;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бухгалтерський облік компаній;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>податки, включаючи непрямі;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інтелектуальна власність;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охорона праці;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фінансові послуги;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правила конкуренції;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державні закупівлі; </w:t>
      </w:r>
    </w:p>
    <w:p w:rsidR="00EF3918" w:rsidRDefault="00EF3918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</w:t>
      </w:r>
      <w:r w:rsidR="007A34F6" w:rsidRPr="00EF3918">
        <w:rPr>
          <w:color w:val="000000"/>
          <w:sz w:val="28"/>
          <w:szCs w:val="28"/>
          <w:lang w:val="uk-UA"/>
        </w:rPr>
        <w:t xml:space="preserve">хорона здоров'я та життя людей, тварин і рослин;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довкілля;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захист прав споживачів;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технічні правила і стандарти; </w:t>
      </w:r>
    </w:p>
    <w:p w:rsid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енергетика, включаючи ядерну; </w:t>
      </w:r>
    </w:p>
    <w:p w:rsidR="007A34F6" w:rsidRPr="00EF3918" w:rsidRDefault="007A34F6" w:rsidP="00BA7B77">
      <w:pPr>
        <w:numPr>
          <w:ilvl w:val="0"/>
          <w:numId w:val="2"/>
        </w:numPr>
        <w:shd w:val="clear" w:color="auto" w:fill="FFFFFF"/>
        <w:tabs>
          <w:tab w:val="clear" w:pos="1440"/>
          <w:tab w:val="left" w:pos="1080"/>
          <w:tab w:val="num" w:pos="1680"/>
        </w:tabs>
        <w:spacing w:line="360" w:lineRule="auto"/>
        <w:ind w:left="0" w:right="63" w:firstLine="709"/>
        <w:jc w:val="both"/>
        <w:rPr>
          <w:color w:val="000000"/>
          <w:sz w:val="28"/>
          <w:szCs w:val="28"/>
          <w:lang w:val="uk-UA"/>
        </w:rPr>
      </w:pPr>
      <w:r w:rsidRPr="00EF3918">
        <w:rPr>
          <w:color w:val="000000"/>
          <w:sz w:val="28"/>
          <w:szCs w:val="28"/>
          <w:lang w:val="uk-UA"/>
        </w:rPr>
        <w:t xml:space="preserve">транспорт. </w:t>
      </w:r>
    </w:p>
    <w:p w:rsidR="007A34F6" w:rsidRPr="00EF3918" w:rsidRDefault="007A34F6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color w:val="000000"/>
          <w:sz w:val="28"/>
          <w:szCs w:val="28"/>
        </w:rPr>
        <w:t xml:space="preserve">Серед пріоритетів співпраці України та ЄС, визначених </w:t>
      </w:r>
      <w:r w:rsidRPr="00EF3918">
        <w:rPr>
          <w:iCs/>
          <w:color w:val="000000"/>
          <w:sz w:val="28"/>
          <w:szCs w:val="28"/>
        </w:rPr>
        <w:t>Планом дій Україна-ЄС</w:t>
      </w:r>
      <w:r w:rsidRPr="00EF3918">
        <w:rPr>
          <w:color w:val="000000"/>
          <w:sz w:val="28"/>
          <w:szCs w:val="28"/>
        </w:rPr>
        <w:t>, затвердженим в лютому 2005 році в рамках Європейської політики сусідства, є «поступове наближення українського законодавства, норм та стандартів до європейських».</w:t>
      </w:r>
    </w:p>
    <w:p w:rsidR="007A34F6" w:rsidRPr="00EF3918" w:rsidRDefault="007A34F6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color w:val="000000"/>
          <w:sz w:val="28"/>
          <w:szCs w:val="28"/>
        </w:rPr>
        <w:t xml:space="preserve">При цьому, глибину та терміни досягнення такої «адекватності» і «наближення» УПС та Планом дій не визначено. Отже, Україна </w:t>
      </w:r>
      <w:r w:rsidRPr="00EF3918">
        <w:rPr>
          <w:bCs/>
          <w:color w:val="000000"/>
          <w:sz w:val="28"/>
          <w:szCs w:val="28"/>
        </w:rPr>
        <w:t>не брала конкретних зобов'язань щодо адаптації власного законодавства до законодавства ЄС, аналогічних тим, що покладаються на держави-кандидати на вступ. Таким чином, така добровільна апроксимація може і повинна здійснюватись, виходячи з принципу доцільності</w:t>
      </w:r>
      <w:r w:rsidRPr="00EF3918">
        <w:rPr>
          <w:color w:val="000000"/>
          <w:sz w:val="28"/>
          <w:szCs w:val="28"/>
        </w:rPr>
        <w:t xml:space="preserve"> – тобто з урахуванням сучасних економічних, соціальних та правових обставин. </w:t>
      </w:r>
    </w:p>
    <w:p w:rsidR="007A34F6" w:rsidRPr="00EF3918" w:rsidRDefault="007A34F6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color w:val="000000"/>
          <w:sz w:val="28"/>
          <w:szCs w:val="28"/>
        </w:rPr>
        <w:t xml:space="preserve">Законом України від 18 березня 2004 року було затверджено </w:t>
      </w:r>
      <w:r w:rsidRPr="00EF3918">
        <w:rPr>
          <w:iCs/>
          <w:color w:val="000000"/>
          <w:sz w:val="28"/>
          <w:szCs w:val="28"/>
        </w:rPr>
        <w:t>Загальнодержавну програму адаптації законодавства України до законодавства Європейського Союзу</w:t>
      </w:r>
      <w:r w:rsidRPr="00EF3918">
        <w:rPr>
          <w:color w:val="000000"/>
          <w:sz w:val="28"/>
          <w:szCs w:val="28"/>
        </w:rPr>
        <w:t xml:space="preserve">, яка визначає «механізм досягнення Україною відповідності третьому Копенгагенському та Мадридському критеріям набуття членства в Європейському Союзі». Метою адаптації законодавства України до законодавства Європейського Союзу визначено досягнення відповідності правової системи України </w:t>
      </w:r>
      <w:r w:rsidRPr="00EF3918">
        <w:rPr>
          <w:iCs/>
          <w:color w:val="000000"/>
          <w:sz w:val="28"/>
          <w:szCs w:val="28"/>
        </w:rPr>
        <w:t>acquis communautaire</w:t>
      </w:r>
      <w:r w:rsidRPr="00EF3918">
        <w:rPr>
          <w:color w:val="000000"/>
          <w:sz w:val="28"/>
          <w:szCs w:val="28"/>
        </w:rPr>
        <w:t xml:space="preserve"> з урахуванням критеріїв, що висуваються ЄС до держав, які мають намір вступити до нього. На першому етапі виконання Програми (2004-2007) пріоритетними сферами, в яких здійснюється адаптація законодавства України, є сфери, визначені статтею 51 УПС. </w:t>
      </w:r>
    </w:p>
    <w:p w:rsidR="007A34F6" w:rsidRPr="00EF3918" w:rsidRDefault="007A34F6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color w:val="000000"/>
          <w:sz w:val="28"/>
          <w:szCs w:val="28"/>
        </w:rPr>
        <w:t xml:space="preserve">Відповідно до Розділу VIII Загальнодержавної програми адаптації законодавства України до законодавства Європейського Союзу, реалізацію політики у сфері адаптації законодавства України до законодавства Європейського Союзу забезпечує Уповноважений центральний орган виконавчої влади. </w:t>
      </w:r>
    </w:p>
    <w:p w:rsidR="007A34F6" w:rsidRPr="00EF3918" w:rsidRDefault="007A34F6" w:rsidP="00BA7B77">
      <w:pPr>
        <w:shd w:val="clear" w:color="auto" w:fill="FFFFFF"/>
        <w:tabs>
          <w:tab w:val="left" w:pos="1080"/>
        </w:tabs>
        <w:spacing w:line="360" w:lineRule="auto"/>
        <w:ind w:right="63" w:firstLine="709"/>
        <w:jc w:val="both"/>
        <w:rPr>
          <w:color w:val="000000"/>
          <w:sz w:val="28"/>
          <w:szCs w:val="28"/>
        </w:rPr>
      </w:pPr>
      <w:r w:rsidRPr="00EF3918">
        <w:rPr>
          <w:bCs/>
          <w:color w:val="000000"/>
          <w:sz w:val="28"/>
          <w:szCs w:val="28"/>
        </w:rPr>
        <w:t xml:space="preserve">До того ж, оцінка місця урядових органів державного управління в системі Міністерства юстиції свідчить про недоцільність виокремлення окремих напрямів основної діяльності Міністерства в урядові органи. Таке виділення було б доцільним у випадку наділення відповідного органу функціями урядової аґенції, що надає певні послуги фізичним та/або юридичним особам. Здійснення ж адаптації законодавства є складовою заходів на виконання правової політики держави, за формування та реалізацію якої відповідає Міністерство юстиції. </w:t>
      </w:r>
    </w:p>
    <w:p w:rsidR="00CF6B44" w:rsidRDefault="00CF6B44" w:rsidP="00BA7B77">
      <w:pPr>
        <w:shd w:val="clear" w:color="auto" w:fill="FFFFFF"/>
        <w:spacing w:line="360" w:lineRule="auto"/>
        <w:ind w:left="360" w:firstLine="709"/>
        <w:rPr>
          <w:color w:val="000000"/>
          <w:sz w:val="28"/>
          <w:szCs w:val="28"/>
          <w:lang w:val="uk-UA"/>
        </w:rPr>
      </w:pPr>
    </w:p>
    <w:p w:rsidR="00610752" w:rsidRDefault="00610752" w:rsidP="00BA7B77">
      <w:pPr>
        <w:shd w:val="clear" w:color="auto" w:fill="FFFFFF"/>
        <w:spacing w:line="360" w:lineRule="auto"/>
        <w:ind w:left="360" w:firstLine="709"/>
        <w:rPr>
          <w:color w:val="000000"/>
          <w:sz w:val="28"/>
          <w:szCs w:val="28"/>
          <w:lang w:val="uk-UA"/>
        </w:rPr>
      </w:pPr>
    </w:p>
    <w:p w:rsidR="00610752" w:rsidRDefault="00610752" w:rsidP="00BA7B77">
      <w:pPr>
        <w:shd w:val="clear" w:color="auto" w:fill="FFFFFF"/>
        <w:spacing w:line="360" w:lineRule="auto"/>
        <w:ind w:left="360" w:firstLine="709"/>
        <w:jc w:val="center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bookmarkStart w:id="1" w:name="_Toc199204293"/>
      <w:r>
        <w:rPr>
          <w:color w:val="000000"/>
          <w:sz w:val="28"/>
          <w:szCs w:val="28"/>
          <w:lang w:val="uk-UA"/>
        </w:rPr>
        <w:t>Список використаної літератури</w:t>
      </w:r>
      <w:bookmarkEnd w:id="1"/>
    </w:p>
    <w:p w:rsidR="00610752" w:rsidRDefault="00610752" w:rsidP="00BA7B77">
      <w:pPr>
        <w:shd w:val="clear" w:color="auto" w:fill="FFFFFF"/>
        <w:spacing w:line="360" w:lineRule="auto"/>
        <w:ind w:left="360" w:firstLine="709"/>
        <w:jc w:val="center"/>
        <w:outlineLvl w:val="0"/>
        <w:rPr>
          <w:color w:val="000000"/>
          <w:sz w:val="28"/>
          <w:szCs w:val="28"/>
          <w:lang w:val="uk-UA"/>
        </w:rPr>
      </w:pPr>
    </w:p>
    <w:p w:rsidR="00610752" w:rsidRPr="00610752" w:rsidRDefault="00610752" w:rsidP="00BA7B77">
      <w:pPr>
        <w:numPr>
          <w:ilvl w:val="0"/>
          <w:numId w:val="3"/>
        </w:numPr>
        <w:shd w:val="clear" w:color="auto" w:fill="FFFFFF"/>
        <w:tabs>
          <w:tab w:val="clear" w:pos="720"/>
          <w:tab w:val="left" w:pos="480"/>
          <w:tab w:val="num" w:pos="960"/>
        </w:tabs>
        <w:spacing w:line="360" w:lineRule="auto"/>
        <w:ind w:left="0" w:firstLine="709"/>
        <w:jc w:val="both"/>
        <w:outlineLvl w:val="0"/>
        <w:rPr>
          <w:sz w:val="28"/>
          <w:szCs w:val="28"/>
          <w:lang w:val="uk-UA"/>
        </w:rPr>
      </w:pPr>
      <w:r w:rsidRPr="00610752">
        <w:rPr>
          <w:sz w:val="28"/>
          <w:szCs w:val="28"/>
        </w:rPr>
        <w:t>Дайнел Д. Дедалі міцніший союз. Курс європейської інтеграції: Науково-популярне видання: англ.- К.: К.І.С., 2006.- 696 c.</w:t>
      </w:r>
    </w:p>
    <w:p w:rsidR="00610752" w:rsidRPr="00610752" w:rsidRDefault="00610752" w:rsidP="00BA7B77">
      <w:pPr>
        <w:numPr>
          <w:ilvl w:val="0"/>
          <w:numId w:val="3"/>
        </w:numPr>
        <w:shd w:val="clear" w:color="auto" w:fill="FFFFFF"/>
        <w:tabs>
          <w:tab w:val="clear" w:pos="720"/>
          <w:tab w:val="left" w:pos="480"/>
          <w:tab w:val="num" w:pos="960"/>
        </w:tabs>
        <w:spacing w:line="360" w:lineRule="auto"/>
        <w:ind w:left="0" w:firstLine="709"/>
        <w:jc w:val="both"/>
        <w:outlineLvl w:val="0"/>
        <w:rPr>
          <w:sz w:val="28"/>
          <w:szCs w:val="28"/>
          <w:lang w:val="uk-UA"/>
        </w:rPr>
      </w:pPr>
      <w:r w:rsidRPr="00610752">
        <w:rPr>
          <w:sz w:val="28"/>
          <w:szCs w:val="28"/>
          <w:lang w:val="uk-UA"/>
        </w:rPr>
        <w:t xml:space="preserve">Савельєв Є. Передумови поглиблення і прискорення європейської інтеграції науки // Журнал європейської економіки (укр.).- </w:t>
      </w:r>
      <w:r w:rsidRPr="00610752">
        <w:rPr>
          <w:sz w:val="28"/>
          <w:szCs w:val="28"/>
        </w:rPr>
        <w:t>2006.- № 2.- C.111-119</w:t>
      </w:r>
      <w:r w:rsidRPr="00610752">
        <w:rPr>
          <w:sz w:val="28"/>
          <w:szCs w:val="28"/>
          <w:lang w:val="uk-UA"/>
        </w:rPr>
        <w:t>.</w:t>
      </w:r>
    </w:p>
    <w:p w:rsidR="00610752" w:rsidRPr="00610752" w:rsidRDefault="00610752" w:rsidP="00BA7B77">
      <w:pPr>
        <w:numPr>
          <w:ilvl w:val="0"/>
          <w:numId w:val="3"/>
        </w:numPr>
        <w:shd w:val="clear" w:color="auto" w:fill="FFFFFF"/>
        <w:tabs>
          <w:tab w:val="clear" w:pos="720"/>
          <w:tab w:val="left" w:pos="480"/>
          <w:tab w:val="num" w:pos="960"/>
        </w:tabs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610752">
        <w:rPr>
          <w:sz w:val="28"/>
          <w:szCs w:val="28"/>
        </w:rPr>
        <w:t>Тоді Ф. Нарис історії Європейського Союзу: Науково-популярне видання: англ.- К.: К.І.С., 2001.- 142 c.</w:t>
      </w:r>
      <w:bookmarkStart w:id="2" w:name="_GoBack"/>
      <w:bookmarkEnd w:id="2"/>
    </w:p>
    <w:sectPr w:rsidR="00610752" w:rsidRPr="00610752" w:rsidSect="00BA7B77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B89" w:rsidRDefault="00C17B89">
      <w:r>
        <w:separator/>
      </w:r>
    </w:p>
  </w:endnote>
  <w:endnote w:type="continuationSeparator" w:id="0">
    <w:p w:rsidR="00C17B89" w:rsidRDefault="00C1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52" w:rsidRDefault="00610752" w:rsidP="00CF09F2">
    <w:pPr>
      <w:pStyle w:val="a3"/>
      <w:framePr w:wrap="around" w:vAnchor="text" w:hAnchor="margin" w:xAlign="right" w:y="1"/>
      <w:rPr>
        <w:rStyle w:val="a5"/>
      </w:rPr>
    </w:pPr>
  </w:p>
  <w:p w:rsidR="00610752" w:rsidRDefault="00610752" w:rsidP="002E543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52" w:rsidRDefault="00785515" w:rsidP="00CF09F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610752" w:rsidRDefault="00610752" w:rsidP="002E543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B89" w:rsidRDefault="00C17B89">
      <w:r>
        <w:separator/>
      </w:r>
    </w:p>
  </w:footnote>
  <w:footnote w:type="continuationSeparator" w:id="0">
    <w:p w:rsidR="00C17B89" w:rsidRDefault="00C1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1584"/>
    <w:multiLevelType w:val="hybridMultilevel"/>
    <w:tmpl w:val="43A8D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4464E42"/>
    <w:multiLevelType w:val="hybridMultilevel"/>
    <w:tmpl w:val="7DC20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CC5FBA"/>
    <w:multiLevelType w:val="hybridMultilevel"/>
    <w:tmpl w:val="591C0E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B44"/>
    <w:rsid w:val="001D6B15"/>
    <w:rsid w:val="002A6048"/>
    <w:rsid w:val="002E543B"/>
    <w:rsid w:val="003F7A3E"/>
    <w:rsid w:val="00517A3B"/>
    <w:rsid w:val="00610752"/>
    <w:rsid w:val="00686862"/>
    <w:rsid w:val="00785515"/>
    <w:rsid w:val="007A34F6"/>
    <w:rsid w:val="00976772"/>
    <w:rsid w:val="00997EAA"/>
    <w:rsid w:val="009B0878"/>
    <w:rsid w:val="00BA7B77"/>
    <w:rsid w:val="00C17B89"/>
    <w:rsid w:val="00CF09F2"/>
    <w:rsid w:val="00CF6B44"/>
    <w:rsid w:val="00EE29C1"/>
    <w:rsid w:val="00EF3918"/>
    <w:rsid w:val="00F35BEE"/>
    <w:rsid w:val="00F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5EC804-1F75-498E-81CC-3CEA713C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543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2E543B"/>
    <w:rPr>
      <w:rFonts w:cs="Times New Roman"/>
    </w:rPr>
  </w:style>
  <w:style w:type="character" w:styleId="a6">
    <w:name w:val="Hyperlink"/>
    <w:uiPriority w:val="99"/>
    <w:rsid w:val="00517A3B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517A3B"/>
    <w:pPr>
      <w:spacing w:before="100" w:beforeAutospacing="1" w:after="100" w:afterAutospacing="1"/>
    </w:pPr>
    <w:rPr>
      <w:rFonts w:ascii="Tahoma" w:hAnsi="Tahoma" w:cs="Tahoma"/>
      <w:color w:val="200F03"/>
      <w:sz w:val="20"/>
      <w:szCs w:val="20"/>
    </w:rPr>
  </w:style>
  <w:style w:type="paragraph" w:styleId="1">
    <w:name w:val="toc 1"/>
    <w:basedOn w:val="a"/>
    <w:next w:val="a"/>
    <w:autoRedefine/>
    <w:uiPriority w:val="39"/>
    <w:semiHidden/>
    <w:rsid w:val="0061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83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888">
          <w:marLeft w:val="0"/>
          <w:marRight w:val="63"/>
          <w:marTop w:val="0"/>
          <w:marBottom w:val="0"/>
          <w:divBdr>
            <w:top w:val="single" w:sz="4" w:space="0" w:color="837B93"/>
            <w:left w:val="single" w:sz="4" w:space="0" w:color="837B93"/>
            <w:bottom w:val="single" w:sz="4" w:space="0" w:color="837B93"/>
            <w:right w:val="single" w:sz="4" w:space="0" w:color="837B93"/>
          </w:divBdr>
        </w:div>
      </w:divsChild>
    </w:div>
    <w:div w:id="7258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890">
          <w:marLeft w:val="0"/>
          <w:marRight w:val="63"/>
          <w:marTop w:val="0"/>
          <w:marBottom w:val="0"/>
          <w:divBdr>
            <w:top w:val="single" w:sz="4" w:space="0" w:color="837B93"/>
            <w:left w:val="single" w:sz="4" w:space="0" w:color="837B93"/>
            <w:bottom w:val="single" w:sz="4" w:space="0" w:color="837B93"/>
            <w:right w:val="single" w:sz="4" w:space="0" w:color="837B9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Sasha</dc:creator>
  <cp:keywords/>
  <dc:description/>
  <cp:lastModifiedBy>admin</cp:lastModifiedBy>
  <cp:revision>2</cp:revision>
  <dcterms:created xsi:type="dcterms:W3CDTF">2014-02-28T08:04:00Z</dcterms:created>
  <dcterms:modified xsi:type="dcterms:W3CDTF">2014-02-28T08:04:00Z</dcterms:modified>
</cp:coreProperties>
</file>