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CA9" w:rsidRDefault="002C1CA9">
      <w:pPr>
        <w:pStyle w:val="21"/>
        <w:rPr>
          <w:rFonts w:ascii="Times New Roman" w:hAnsi="Times New Roman"/>
          <w:b/>
          <w:bCs/>
        </w:rPr>
      </w:pPr>
      <w:r>
        <w:t>1</w:t>
      </w:r>
      <w:r>
        <w:rPr>
          <w:rFonts w:ascii="Times New Roman" w:hAnsi="Times New Roman"/>
          <w:b/>
          <w:bCs/>
        </w:rPr>
        <w:t>. Сделайте сравнительный анализ уголовного средневекового законодательства, сопоставив Каролину и Саксонское зерцало.</w:t>
      </w:r>
    </w:p>
    <w:p w:rsidR="002C1CA9" w:rsidRDefault="002C1CA9"/>
    <w:p w:rsidR="002C1CA9" w:rsidRDefault="002C1CA9">
      <w:r>
        <w:t xml:space="preserve">Наиболее известным правовым памятником, освещающим вопросы уголовного права и процесса средневековья является обще германское уголовное уложение 1532г., так называемая «Каролина». Такое наименование это уложение получило потому, что было издано в правление германского императора Карла </w:t>
      </w:r>
      <w:r>
        <w:rPr>
          <w:lang w:val="en-US"/>
        </w:rPr>
        <w:t>V</w:t>
      </w:r>
      <w:r>
        <w:t>.</w:t>
      </w:r>
    </w:p>
    <w:p w:rsidR="002C1CA9" w:rsidRDefault="002C1CA9">
      <w:r>
        <w:t>В виду партикуляристских стремлений отдельных земель, восставших против издания общеимперского законодательства, в предисловии к Каролине было сказано: «Однако мы хотим при этом милостиво упомянуть, что старые, установившиеся законные и добрые обычаи уцрфюрстов, князей и сословий ни в чем не должны потерпеть умаления».</w:t>
      </w:r>
    </w:p>
    <w:p w:rsidR="002C1CA9" w:rsidRDefault="002C1CA9">
      <w:r>
        <w:t>Таким образом, за каждой землей было сохранено  ее особое уголовно право, Каролина предназначалась лишь для восполнения пробелов в местных законах.</w:t>
      </w:r>
    </w:p>
    <w:p w:rsidR="002C1CA9" w:rsidRDefault="002C1CA9">
      <w:r>
        <w:t xml:space="preserve">В Германии также производилась запись  партикулярного права. Это так называемые «Правовые книги». Наибольшей известностью пользовалось «Саксонское зерцало», составленное  в начале </w:t>
      </w:r>
      <w:r>
        <w:rPr>
          <w:lang w:val="en-US"/>
        </w:rPr>
        <w:t>XIII</w:t>
      </w:r>
      <w:r>
        <w:t xml:space="preserve"> века. «Саксонское зерцало» состоит из двух книг, из которых первая посвящена саксонскому общему земскому праву. А вторая – саксонскому ленному праву. Первая отражает, главным образом, практику судов. Содержание «Саксонского зерцала2 охватывает гражданское, уголовное, процессуальное и частично государственное право.</w:t>
      </w:r>
    </w:p>
    <w:p w:rsidR="002C1CA9" w:rsidRDefault="002C1CA9">
      <w:r>
        <w:t xml:space="preserve">В результате переработки и распространении Саксонского зерцала во второй половине </w:t>
      </w:r>
      <w:r>
        <w:rPr>
          <w:lang w:val="en-US"/>
        </w:rPr>
        <w:t>XIII</w:t>
      </w:r>
      <w:r>
        <w:t xml:space="preserve"> века появилось «Зерцало немецких людей», претендовавшие на изложение всего немецкого права, по фактически лишь немного вышедшее за рамки саксонского права. В </w:t>
      </w:r>
      <w:r>
        <w:rPr>
          <w:lang w:val="en-US"/>
        </w:rPr>
        <w:t>XVII</w:t>
      </w:r>
      <w:r>
        <w:t xml:space="preserve">в. этому  сборнику было присвоено название «Швабское зерцало». В </w:t>
      </w:r>
      <w:r>
        <w:rPr>
          <w:lang w:val="en-US"/>
        </w:rPr>
        <w:t>XIV</w:t>
      </w:r>
      <w:r>
        <w:t xml:space="preserve"> в. в ряде земель появились переработки Саксонского зерцала применительно к местным обычаям и потребностям.</w:t>
      </w:r>
    </w:p>
    <w:p w:rsidR="002C1CA9" w:rsidRDefault="002C1CA9">
      <w:r>
        <w:t>Основное содержание Каролины составляют правила  уголовного судопроизводства. Уголовно право  по объему стоит на втором месте (ему посвящено более ста статей). Изложенные нормы права в достаточной мере ясно и понятно.</w:t>
      </w:r>
    </w:p>
    <w:p w:rsidR="002C1CA9" w:rsidRDefault="002C1CA9">
      <w:r>
        <w:t>Каролина, в отличие от позднейших кодексов н имеет систематического деления на части или главы. Но некоторые группы статей объединены по сходству содержания особыми подзаголовками.</w:t>
      </w:r>
    </w:p>
    <w:p w:rsidR="002C1CA9" w:rsidRDefault="002C1CA9">
      <w:r>
        <w:t>Каролина предусматривает довольно многочисленный круг преступлений: государственные (измена, мятеж, нарушение земского мира и др.), против религии (богохульство, колдовство и др.), против личности (убийство, отравление, клевета и др.), против нравственности (кровосмешение, изнасилование, двоебрачие, нарушение супружеской верности и др.), против собственности (поджог, грабеж, воровство, присвоение), а также некоторые другие виды преступных деяний.</w:t>
      </w:r>
    </w:p>
    <w:p w:rsidR="002C1CA9" w:rsidRDefault="002C1CA9">
      <w:r>
        <w:t>В Каролине получили более или менее точное определение не только отдельные преступления, но и некоторые общие понятия уголовного права: покушение, соучастие (например, пособничество), неосторожность, необходимая оборона и т.д.</w:t>
      </w:r>
    </w:p>
    <w:p w:rsidR="002C1CA9" w:rsidRDefault="002C1CA9">
      <w:r>
        <w:t>В основу наказаний, предусмотренных Каролиной, положен принцип устрашения, что связано с событиями крестьянской войны 1525 г.</w:t>
      </w:r>
    </w:p>
    <w:p w:rsidR="002C1CA9" w:rsidRDefault="002C1CA9">
      <w:r>
        <w:t>Карательные меры Каролины отличаются большой жестокостью: значительное число преступлений наказывалось смертной казнью, причем были предусмотрены квалифицированные виды этой казни: колесование, четвертование, закапывание живым в землю, утопление, сожжение и пр. Значительное место среди наказаний занимают телесные. Нередко применялось вырывание языка и отсечение руки. Смертная казнь и лишение членов тела производилось публично. При  маловажных проступках практиковалось лишение чести, причем осужденного выставляли к позорному столбу или в ошейнике на публично посмеяние.</w:t>
      </w:r>
    </w:p>
    <w:p w:rsidR="002C1CA9" w:rsidRDefault="002C1CA9">
      <w:r>
        <w:t>Обращает на себя внимание установление жестоких  мер наказания за посягательства против императорской власти и против собственности.</w:t>
      </w:r>
    </w:p>
    <w:p w:rsidR="002C1CA9" w:rsidRDefault="002C1CA9"/>
    <w:p w:rsidR="002C1CA9" w:rsidRDefault="002C1CA9">
      <w:r>
        <w:t>Большая часть статей Каролины посвящена вопросам судопроизводства.</w:t>
      </w:r>
    </w:p>
    <w:p w:rsidR="002C1CA9" w:rsidRDefault="002C1CA9">
      <w:r>
        <w:t>Каролина сохранила некоторые черты обвинительного процесса. Потерпевший или другой истец мог предъявить уголовный иск, а обвиняемый – оспорить и доказать его несостоятельность. Сторонам давалось право представлять документы и свидетельские показания. Пользоваться услугами юристов. Если обвинение не подтверждалось. Истец должен был «возместить ущерб, бесчестье и оплатить судебные издержки».</w:t>
      </w:r>
    </w:p>
    <w:p w:rsidR="002C1CA9" w:rsidRDefault="002C1CA9">
      <w:r>
        <w:t>В целом же основной формой рассмотрения уголовных дел в Каролине является инквизиционный процесс. Обвинение предъявлялось судьей от лица государства «по долгу службы». Следствие велось по инициативе суда и не было ограничено сроками. Широко осуществлялись средства физического воздействия на подозреваемого, например,  допрос под пыткой. При этом Каролина подробно регламентирует условия применения пытки. Для признания улик достаточными для применения допроса под пыткой считались показания двух «добрых» свидетелей. Главное событие, доказанное одним свидетелем, считалось полу доказательством. Ряд статей определяют порядок показывания преступления истцом, если обвиняемый не сознается.  Большинство их посвящено свидетелям и свидетельским показаниям. Окончательный приговор выносился на основании собственного признания или свидетельства виновного.</w:t>
      </w:r>
    </w:p>
    <w:p w:rsidR="002C1CA9" w:rsidRDefault="002C1CA9">
      <w:r>
        <w:t>Процесс делился на три стадии: дознание, общее расследование и специальное расследование.</w:t>
      </w:r>
    </w:p>
    <w:p w:rsidR="002C1CA9" w:rsidRDefault="002C1CA9">
      <w:r>
        <w:t>Дознание заключалось в установлении факта совершения преступления и подозреваемого в нем лица.</w:t>
      </w:r>
    </w:p>
    <w:p w:rsidR="002C1CA9" w:rsidRDefault="002C1CA9">
      <w:r>
        <w:t>Общее расследование состояло в кратком допросе арестованного об обстоятельствах дела, в целях уточнения некоторых данных о преступлении.</w:t>
      </w:r>
    </w:p>
    <w:p w:rsidR="002C1CA9" w:rsidRDefault="002C1CA9">
      <w:r>
        <w:t>Специальное расследование представляло собой подробный допрос обвиняемого и свидетелей, сбор доказательств для окончательного изобличения преступника. Это расследование основывалось на теории формальных доказательств.</w:t>
      </w:r>
    </w:p>
    <w:p w:rsidR="002C1CA9" w:rsidRDefault="002C1CA9">
      <w:r>
        <w:t>В Германии  были известны два вида преступных деяний, преступления и проступки.</w:t>
      </w:r>
    </w:p>
    <w:p w:rsidR="002C1CA9" w:rsidRDefault="002C1CA9">
      <w:r>
        <w:t>Устанавливается деление по объекту  посягательства. Судебная практика различала три основных разряда6 1)преступления против религии, 2) против государства, 3)против частных лиц.</w:t>
      </w:r>
    </w:p>
    <w:p w:rsidR="002C1CA9" w:rsidRDefault="002C1CA9"/>
    <w:p w:rsidR="002C1CA9" w:rsidRDefault="002C1CA9"/>
    <w:p w:rsidR="002C1CA9" w:rsidRDefault="002C1CA9">
      <w:pPr>
        <w:rPr>
          <w:rFonts w:ascii="Times New Roman" w:hAnsi="Times New Roman"/>
          <w:b/>
          <w:bCs/>
        </w:rPr>
      </w:pPr>
      <w:r>
        <w:br w:type="page"/>
        <w:t>2</w:t>
      </w:r>
      <w:r>
        <w:rPr>
          <w:rFonts w:ascii="Times New Roman" w:hAnsi="Times New Roman"/>
          <w:b/>
          <w:bCs/>
        </w:rPr>
        <w:t>. Дворовый человек петербургского вельможи Спиридон рубил лес на непринадлежащем его господину участке. Незаконную порубку остановил проезжавший мимо поручик Преображенского полка. Разъяренный Спиридон бросился с топором на поручика. Поручик зарубил Спиридона саблей. Вельможа потребовал наказания поручика за убийство его человека. Какое решение должен принять суд на основании Артикула воинского 1715 года?</w:t>
      </w:r>
    </w:p>
    <w:p w:rsidR="002C1CA9" w:rsidRDefault="002C1CA9"/>
    <w:p w:rsidR="002C1CA9" w:rsidRDefault="002C1CA9"/>
    <w:p w:rsidR="002C1CA9" w:rsidRDefault="002C1CA9">
      <w:r>
        <w:t xml:space="preserve">Утвержденный в 1714 г. и изданные в 1715 г. </w:t>
      </w:r>
      <w:r>
        <w:rPr>
          <w:i/>
          <w:iCs/>
        </w:rPr>
        <w:t>Воинские Артикулы</w:t>
      </w:r>
      <w:r>
        <w:t>, свод военно-уголовного законодательства, относящегося преимущественно к области материального, а не процессуального права. По своей структуре этот кодекс перенял родовую классификацию правовых норм (по роду деяния) с внутренней иерархией по важности деяния. Каждый артикул описывал отдельный вид правонарушения и назначал определенную санкцию.</w:t>
      </w:r>
    </w:p>
    <w:p w:rsidR="002C1CA9" w:rsidRDefault="002C1CA9"/>
    <w:p w:rsidR="002C1CA9" w:rsidRDefault="002C1CA9">
      <w:r>
        <w:t xml:space="preserve">Артикулы включали следующие виды </w:t>
      </w:r>
      <w:r>
        <w:rPr>
          <w:i/>
          <w:iCs/>
        </w:rPr>
        <w:t>преступлений</w:t>
      </w:r>
      <w:r>
        <w:t>:</w:t>
      </w:r>
    </w:p>
    <w:p w:rsidR="002C1CA9" w:rsidRDefault="002C1CA9">
      <w:r>
        <w:t>1. Против религии. В эту группу входили чародейство, идолопоклонство, которые наказывались смертной казнью (сожжением) при условии, что будет доказано сношние обвиняемого с дьяволом. В противном случае назначалось тюремное заключение и телесно наказание.</w:t>
      </w:r>
    </w:p>
    <w:p w:rsidR="002C1CA9" w:rsidRDefault="002C1CA9">
      <w:r>
        <w:t>2. Государственные. Простой умысел убить или взять в плен царя наказывался четвертованием. Так же наказывалось  вооруженное выступление против властей (одинаковое наказание – четвертование – несли исполнители, пособники и подстрекатели.</w:t>
      </w:r>
    </w:p>
    <w:p w:rsidR="002C1CA9" w:rsidRDefault="002C1CA9">
      <w:r>
        <w:t>3. К должностным преступлениям относили взяточничество, наказываемое смертной казнью, конфискацией имущества и телесными наказаниями.</w:t>
      </w:r>
    </w:p>
    <w:p w:rsidR="002C1CA9" w:rsidRDefault="002C1CA9">
      <w:r>
        <w:t>4. Преступления против порядка управления и суда. К ним относились срывание и истребление указов, что наказывалось смертной казнью (здесь проявилось особое отношение абсолютистской психологии к писаным нормативным текстам символам царской воли).</w:t>
      </w:r>
    </w:p>
    <w:p w:rsidR="002C1CA9" w:rsidRDefault="002C1CA9">
      <w:r>
        <w:t>5. Преступления против «благочиния», близко стоящие к предыдущей группе, но не имеющие прямой антигосударственной направленности. К ним относили укрывательство  преступников, каравшееся смертной казнью, содержание  притонов, присвоение ложных имен и прозвищ с целью причинения вреда, распевание непристойных песен и произнесение нецензурных речей.</w:t>
      </w:r>
    </w:p>
    <w:p w:rsidR="002C1CA9" w:rsidRDefault="002C1CA9">
      <w:r>
        <w:t>6. Преступления против личности включали преступления против жизни, телесной неприкосновенности, чести. В этой группе главное место занимало убийство. Артикулы разливали умышленное (каравшееся отсечением головы), неосторожнее (наказываемое телесным заключением, шрицрутенами), случайное (ненаказуемо). К наиболее тяжким видам убийств законодатель относил убийство по найму, отравление, убийство отца, матери, младенца или офицера. Особая этическая окраска этих составов очевидна, за этим следовал и особый вид наказания – колесование.</w:t>
      </w:r>
    </w:p>
    <w:p w:rsidR="002C1CA9" w:rsidRDefault="002C1CA9">
      <w:r>
        <w:t>7. К имущественным преступлениям относили кражу, грабеж, поджог, истребление или повреждение чужого имущества.</w:t>
      </w:r>
    </w:p>
    <w:p w:rsidR="002C1CA9" w:rsidRDefault="002C1CA9">
      <w:r>
        <w:t>8. К преступлениям против нравственности относили изнасилование (факт которого, согласно закону, должен быть, кроме заявления, подтвержден данными экспертизы), мужеложество (наказываемое смертной казнью или ссылкой на галеры), скотоложество (за которым следовало тяжелое телесное наказание), «блуд», кровосмешение или связь между близкими родственниками, двоеженство, прелюбодеяние (наказываемо заключением и каторгой).</w:t>
      </w:r>
    </w:p>
    <w:p w:rsidR="002C1CA9" w:rsidRDefault="002C1CA9"/>
    <w:p w:rsidR="002C1CA9" w:rsidRDefault="002C1CA9">
      <w:pPr>
        <w:rPr>
          <w:b/>
          <w:bCs/>
        </w:rPr>
      </w:pPr>
      <w:r>
        <w:rPr>
          <w:b/>
          <w:bCs/>
        </w:rPr>
        <w:t>Поручик Прееображенского полка совеершил преступление против личности, причем он совершил убийство.</w:t>
      </w:r>
    </w:p>
    <w:p w:rsidR="002C1CA9" w:rsidRDefault="002C1CA9">
      <w:pPr>
        <w:rPr>
          <w:b/>
          <w:bCs/>
        </w:rPr>
      </w:pPr>
      <w:r>
        <w:rPr>
          <w:b/>
          <w:bCs/>
        </w:rPr>
        <w:t>Однако, поскольку дворовый человек Спиридон бросился с топором на поручика. То поручик действовал в состоянии необходимой обороны. Согласно артикулу, человек совершивший преступление в состоянии необходимой обороны не несет ответственности.</w:t>
      </w:r>
    </w:p>
    <w:p w:rsidR="002C1CA9" w:rsidRDefault="002C1CA9"/>
    <w:p w:rsidR="002C1CA9" w:rsidRDefault="002C1CA9"/>
    <w:p w:rsidR="002C1CA9" w:rsidRDefault="002C1CA9"/>
    <w:p w:rsidR="002C1CA9" w:rsidRDefault="002C1CA9"/>
    <w:p w:rsidR="002C1CA9" w:rsidRDefault="002C1CA9">
      <w:r>
        <w:br w:type="page"/>
        <w:t>Литература.</w:t>
      </w:r>
    </w:p>
    <w:p w:rsidR="002C1CA9" w:rsidRDefault="002C1CA9"/>
    <w:p w:rsidR="002C1CA9" w:rsidRDefault="002C1CA9"/>
    <w:p w:rsidR="002C1CA9" w:rsidRDefault="002C1CA9">
      <w:r>
        <w:t>Исаев И.А. История государства и права России. Полный курс лекций. –2-е изд. М., Юрист, 1994г.</w:t>
      </w:r>
    </w:p>
    <w:p w:rsidR="002C1CA9" w:rsidRDefault="002C1CA9">
      <w:r>
        <w:t>Всеобщая история государства и права. Под ред. К.И.Батыра. М., Былина. 1996.</w:t>
      </w:r>
    </w:p>
    <w:p w:rsidR="002C1CA9" w:rsidRDefault="002C1CA9">
      <w:bookmarkStart w:id="0" w:name="_GoBack"/>
      <w:bookmarkEnd w:id="0"/>
    </w:p>
    <w:sectPr w:rsidR="002C1CA9">
      <w:headerReference w:type="even" r:id="rId7"/>
      <w:headerReference w:type="default" r:id="rId8"/>
      <w:pgSz w:w="11906" w:h="16838" w:code="9"/>
      <w:pgMar w:top="1361" w:right="1021" w:bottom="136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CA9" w:rsidRDefault="002C1CA9">
      <w:pPr>
        <w:spacing w:line="240" w:lineRule="auto"/>
      </w:pPr>
      <w:r>
        <w:separator/>
      </w:r>
    </w:p>
  </w:endnote>
  <w:endnote w:type="continuationSeparator" w:id="0">
    <w:p w:rsidR="002C1CA9" w:rsidRDefault="002C1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CA9" w:rsidRDefault="002C1CA9">
      <w:pPr>
        <w:spacing w:line="240" w:lineRule="auto"/>
      </w:pPr>
      <w:r>
        <w:separator/>
      </w:r>
    </w:p>
  </w:footnote>
  <w:footnote w:type="continuationSeparator" w:id="0">
    <w:p w:rsidR="002C1CA9" w:rsidRDefault="002C1C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A9" w:rsidRDefault="002C1CA9">
    <w:pPr>
      <w:pStyle w:val="a5"/>
      <w:framePr w:wrap="around" w:vAnchor="text" w:hAnchor="margin" w:xAlign="center" w:y="1"/>
      <w:rPr>
        <w:rStyle w:val="a4"/>
      </w:rPr>
    </w:pPr>
  </w:p>
  <w:p w:rsidR="002C1CA9" w:rsidRDefault="002C1CA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A9" w:rsidRDefault="00DD71BA">
    <w:pPr>
      <w:pStyle w:val="a5"/>
      <w:framePr w:wrap="around" w:vAnchor="text" w:hAnchor="margin" w:xAlign="center" w:y="1"/>
      <w:rPr>
        <w:rStyle w:val="a4"/>
      </w:rPr>
    </w:pPr>
    <w:r>
      <w:rPr>
        <w:rStyle w:val="a4"/>
        <w:noProof/>
      </w:rPr>
      <w:t>1</w:t>
    </w:r>
  </w:p>
  <w:p w:rsidR="002C1CA9" w:rsidRDefault="002C1CA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F28DC"/>
    <w:multiLevelType w:val="hybridMultilevel"/>
    <w:tmpl w:val="33245D04"/>
    <w:lvl w:ilvl="0" w:tplc="CB66B8C6">
      <w:start w:val="1"/>
      <w:numFmt w:val="decimal"/>
      <w:lvlText w:val="%1."/>
      <w:lvlJc w:val="left"/>
      <w:pPr>
        <w:tabs>
          <w:tab w:val="num" w:pos="1747"/>
        </w:tabs>
        <w:ind w:left="1747" w:hanging="1140"/>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1"/>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1BA"/>
    <w:rsid w:val="002C1CA9"/>
    <w:rsid w:val="008F492A"/>
    <w:rsid w:val="00C601F9"/>
    <w:rsid w:val="00DD7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88C60-D7E3-47F3-8998-FDF33D57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607"/>
      <w:jc w:val="both"/>
    </w:pPr>
    <w:rPr>
      <w:rFonts w:ascii="Courier New" w:hAnsi="Courier New"/>
      <w:sz w:val="28"/>
    </w:rPr>
  </w:style>
  <w:style w:type="paragraph" w:styleId="1">
    <w:name w:val="heading 1"/>
    <w:basedOn w:val="a"/>
    <w:next w:val="a"/>
    <w:qFormat/>
    <w:pPr>
      <w:keepNext/>
      <w:overflowPunct w:val="0"/>
      <w:autoSpaceDE w:val="0"/>
      <w:autoSpaceDN w:val="0"/>
      <w:adjustRightInd w:val="0"/>
      <w:spacing w:before="240" w:after="60"/>
      <w:jc w:val="center"/>
      <w:textAlignment w:val="baseline"/>
      <w:outlineLvl w:val="0"/>
    </w:pPr>
    <w:rPr>
      <w:rFonts w:cs="Arial"/>
      <w:b/>
      <w:bCs/>
      <w:color w:val="000000"/>
      <w:kern w:val="32"/>
      <w:sz w:val="32"/>
      <w:szCs w:val="32"/>
      <w:lang w:val="en-US"/>
    </w:rPr>
  </w:style>
  <w:style w:type="paragraph" w:styleId="2">
    <w:name w:val="heading 2"/>
    <w:basedOn w:val="a"/>
    <w:next w:val="a"/>
    <w:qFormat/>
    <w:pPr>
      <w:keepNext/>
      <w:autoSpaceDE w:val="0"/>
      <w:autoSpaceDN w:val="0"/>
      <w:adjustRightInd w:val="0"/>
      <w:spacing w:before="240" w:after="60"/>
      <w:ind w:firstLine="0"/>
      <w:jc w:val="left"/>
      <w:outlineLvl w:val="1"/>
    </w:pPr>
    <w:rPr>
      <w:rFonts w:ascii="Times New Roman" w:hAnsi="Times New Roman" w:cs="Arial"/>
      <w:b/>
      <w:bCs/>
      <w:i/>
      <w:iCs/>
      <w:szCs w:val="28"/>
    </w:rPr>
  </w:style>
  <w:style w:type="paragraph" w:styleId="3">
    <w:name w:val="heading 3"/>
    <w:basedOn w:val="a"/>
    <w:next w:val="a"/>
    <w:qFormat/>
    <w:pPr>
      <w:keepNext/>
      <w:overflowPunct w:val="0"/>
      <w:adjustRightInd w:val="0"/>
      <w:spacing w:before="240" w:after="60"/>
      <w:ind w:firstLine="0"/>
      <w:jc w:val="center"/>
      <w:textAlignment w:val="baseline"/>
      <w:outlineLvl w:val="2"/>
    </w:pPr>
    <w:rPr>
      <w:rFonts w:ascii="Times New Roman" w:hAnsi="Times New Roman"/>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autoRedefine/>
    <w:pPr>
      <w:ind w:left="40" w:firstLine="357"/>
      <w:jc w:val="both"/>
    </w:pPr>
    <w:rPr>
      <w:rFonts w:ascii="Courier New" w:hAnsi="Courier New"/>
      <w:snapToGrid w:val="0"/>
      <w:sz w:val="26"/>
    </w:rPr>
  </w:style>
  <w:style w:type="paragraph" w:styleId="30">
    <w:name w:val="Body Text Indent 3"/>
    <w:basedOn w:val="a"/>
    <w:semiHidden/>
    <w:pPr>
      <w:ind w:firstLine="709"/>
    </w:pPr>
    <w:rPr>
      <w:rFonts w:cs="Courier New"/>
      <w:sz w:val="26"/>
    </w:rPr>
  </w:style>
  <w:style w:type="paragraph" w:styleId="a3">
    <w:name w:val="Body Text Indent"/>
    <w:basedOn w:val="a"/>
    <w:semiHidden/>
    <w:pPr>
      <w:ind w:firstLine="425"/>
    </w:pPr>
  </w:style>
  <w:style w:type="paragraph" w:styleId="20">
    <w:name w:val="Body Text 2"/>
    <w:basedOn w:val="a"/>
    <w:semiHidden/>
    <w:rPr>
      <w:rFonts w:cs="Courier New"/>
    </w:rPr>
  </w:style>
  <w:style w:type="character" w:styleId="a4">
    <w:name w:val="page number"/>
    <w:semiHidden/>
    <w:rPr>
      <w:rFonts w:ascii="Times New Roman" w:hAnsi="Times New Roman"/>
      <w:color w:val="000000"/>
      <w:sz w:val="24"/>
      <w:bdr w:val="none" w:sz="0" w:space="0" w:color="auto"/>
    </w:rPr>
  </w:style>
  <w:style w:type="paragraph" w:styleId="a5">
    <w:name w:val="header"/>
    <w:basedOn w:val="a"/>
    <w:semiHidden/>
    <w:pPr>
      <w:tabs>
        <w:tab w:val="center" w:pos="4677"/>
        <w:tab w:val="right" w:pos="9355"/>
      </w:tabs>
    </w:pPr>
  </w:style>
  <w:style w:type="paragraph" w:styleId="21">
    <w:name w:val="Body Text Indent 2"/>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1420</Words>
  <Characters>8097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Каролина</vt:lpstr>
    </vt:vector>
  </TitlesOfParts>
  <Company>MM</Company>
  <LinksUpToDate>false</LinksUpToDate>
  <CharactersWithSpaces>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Каролина</dc:title>
  <dc:subject/>
  <dc:creator>ALPHA</dc:creator>
  <cp:keywords/>
  <dc:description/>
  <cp:lastModifiedBy>admin</cp:lastModifiedBy>
  <cp:revision>2</cp:revision>
  <dcterms:created xsi:type="dcterms:W3CDTF">2014-02-10T08:37:00Z</dcterms:created>
  <dcterms:modified xsi:type="dcterms:W3CDTF">2014-02-10T08:37:00Z</dcterms:modified>
</cp:coreProperties>
</file>