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88" w:rsidRPr="00462361" w:rsidRDefault="009C7D88" w:rsidP="009C7D88">
      <w:pPr>
        <w:spacing w:before="120"/>
        <w:jc w:val="center"/>
        <w:rPr>
          <w:b/>
          <w:bCs/>
          <w:sz w:val="32"/>
          <w:szCs w:val="32"/>
        </w:rPr>
      </w:pPr>
      <w:r w:rsidRPr="00462361">
        <w:rPr>
          <w:b/>
          <w:bCs/>
          <w:sz w:val="32"/>
          <w:szCs w:val="32"/>
        </w:rPr>
        <w:t>Особенности налогообложения рекламной акции</w:t>
      </w:r>
    </w:p>
    <w:p w:rsidR="009C7D88" w:rsidRPr="00462361" w:rsidRDefault="009C7D88" w:rsidP="009C7D88">
      <w:pPr>
        <w:spacing w:before="120"/>
        <w:ind w:firstLine="567"/>
        <w:jc w:val="both"/>
        <w:rPr>
          <w:sz w:val="28"/>
          <w:szCs w:val="28"/>
        </w:rPr>
      </w:pPr>
      <w:r w:rsidRPr="00462361">
        <w:rPr>
          <w:sz w:val="28"/>
          <w:szCs w:val="28"/>
        </w:rPr>
        <w:t>Ю. А. Васильев /генеральный директор КГ «Аюдар», к.э.н.</w:t>
      </w:r>
    </w:p>
    <w:p w:rsidR="009C7D88" w:rsidRPr="00B369EA" w:rsidRDefault="009C7D88" w:rsidP="009C7D88">
      <w:pPr>
        <w:spacing w:before="120"/>
        <w:ind w:firstLine="567"/>
        <w:jc w:val="both"/>
      </w:pPr>
      <w:r w:rsidRPr="00B369EA">
        <w:t xml:space="preserve">Практика предпринимательской деятельности показывает, что стабильность и финансовый успех фирмы во многом зависят от налаженных хозяйственных связей и от количества покупателей ее товаров и услуг. Для этих целей широко используется реклама, наиболее распространенными способами которой являются бесплатная раздача покупателям сувенирной продукции и образцов товаров, в том числе организация бесплатной дегустации. Рекламировать свою продукцию можно через СМИ, Интернет, с помощью каталогов, брошюр, листовок. О том, с какими трудностями может столкнуться бухгалтер при отражении указанных операций, вы узнаете из данной статьи. </w:t>
      </w:r>
    </w:p>
    <w:p w:rsidR="009C7D88" w:rsidRPr="00462361" w:rsidRDefault="009C7D88" w:rsidP="009C7D88">
      <w:pPr>
        <w:spacing w:before="120"/>
        <w:jc w:val="center"/>
        <w:rPr>
          <w:b/>
          <w:bCs/>
          <w:sz w:val="28"/>
          <w:szCs w:val="28"/>
        </w:rPr>
      </w:pPr>
      <w:r w:rsidRPr="00462361">
        <w:rPr>
          <w:b/>
          <w:bCs/>
          <w:sz w:val="28"/>
          <w:szCs w:val="28"/>
        </w:rPr>
        <w:t>Рекламные расходы в целях налогообложения прибыли</w:t>
      </w:r>
    </w:p>
    <w:p w:rsidR="009C7D88" w:rsidRPr="00B369EA" w:rsidRDefault="009C7D88" w:rsidP="009C7D88">
      <w:pPr>
        <w:spacing w:before="120"/>
        <w:ind w:firstLine="567"/>
        <w:jc w:val="both"/>
      </w:pPr>
      <w:r w:rsidRPr="00B369EA">
        <w:t xml:space="preserve">На основании абз. 2–4 п. 4 ст. 264 НК РФ к рекламным расходам, учитываемым для целей налогообложения (пп. 28 п. 1 ст. 264 НК РФ) в размере фактических затрат, относятся: </w:t>
      </w:r>
    </w:p>
    <w:p w:rsidR="009C7D88" w:rsidRDefault="009C7D88" w:rsidP="009C7D88">
      <w:pPr>
        <w:spacing w:before="120"/>
        <w:ind w:firstLine="567"/>
        <w:jc w:val="both"/>
      </w:pPr>
      <w:r w:rsidRPr="00B369EA">
        <w:t>– расходы на рекламные мероприятия через средства массовой информации (в том числе объявления в печати, передача по радио и телевидению) и телекоммуникационные сети;</w:t>
      </w:r>
    </w:p>
    <w:p w:rsidR="009C7D88" w:rsidRDefault="009C7D88" w:rsidP="009C7D88">
      <w:pPr>
        <w:spacing w:before="120"/>
        <w:ind w:firstLine="567"/>
        <w:jc w:val="both"/>
      </w:pPr>
      <w:r w:rsidRPr="00B369EA">
        <w:t>– расходы на световую и иную наружную рекламу, включая изготовление рекламных стендов и рекламных щитов;</w:t>
      </w:r>
    </w:p>
    <w:p w:rsidR="009C7D88" w:rsidRPr="00B369EA" w:rsidRDefault="009C7D88" w:rsidP="009C7D88">
      <w:pPr>
        <w:spacing w:before="120"/>
        <w:ind w:firstLine="567"/>
        <w:jc w:val="both"/>
      </w:pPr>
      <w:r w:rsidRPr="00B369EA">
        <w:t>– расходы на участие в выставках, ярмарках, экспозициях, на оформление витрин, выставок-продаж, комнат образцов и демонстрационных залов, изготовление рекламных брошюр и каталогов, содержащих информацию о работах и услугах, выполняемых и оказываемых организацией, и (или) о самой организации, на уценку товаров, полностью или частично потерявших свои первоначальные качества при экспонировании.</w:t>
      </w:r>
    </w:p>
    <w:p w:rsidR="009C7D88" w:rsidRPr="00B369EA" w:rsidRDefault="009C7D88" w:rsidP="009C7D88">
      <w:pPr>
        <w:spacing w:before="120"/>
        <w:ind w:firstLine="567"/>
        <w:jc w:val="both"/>
      </w:pPr>
      <w:r w:rsidRPr="00B369EA">
        <w:t xml:space="preserve">К сведению: Федеральным законом № 58-ФЗ в п. 4 ст. 264 НК РФ внесены изменения. В частности, расширен перечень расходов на изготовление рекламных брошюр и каталогов, учитываемых в качестве расходов на рекламу. Новая редакция статьи выглядит следующим образом: расходы на участие в выставках, ярмарках, экспозициях, на оформление витрин, выставок-продаж, комнат образцов и демонстрационных залов, изготовление рекламных брошюр и каталогов, содержащих информацию о реализуемых товарах, выполняемых работах, оказываемых услугах, товарных знаках и знаках обслуживания, и (или) о самой организации, на уценку товаров, полностью или частично потерявших свои первоначальные качества при экспонировании . Она вступит в силу с 1 января 2006 года. Отметим, что данный перечень является закрытым и не подлежит расширительному толкованию. </w:t>
      </w:r>
    </w:p>
    <w:p w:rsidR="009C7D88" w:rsidRPr="00B369EA" w:rsidRDefault="009C7D88" w:rsidP="009C7D88">
      <w:pPr>
        <w:spacing w:before="120"/>
        <w:ind w:firstLine="567"/>
        <w:jc w:val="both"/>
      </w:pPr>
      <w:r w:rsidRPr="00B369EA">
        <w:t>Остальные расходы на рекламу нормируются: они учитываются для целей налогообложения прибыли в размере, не превышающем 1% выручки от реализации, сформированной по данным налогового учета, согласно п.</w:t>
      </w:r>
      <w:r>
        <w:t xml:space="preserve"> </w:t>
      </w:r>
      <w:r w:rsidRPr="00B369EA">
        <w:t>2 ст.</w:t>
      </w:r>
      <w:r>
        <w:t xml:space="preserve"> </w:t>
      </w:r>
      <w:r w:rsidRPr="00B369EA">
        <w:t>249 НК РФ, кассовым методом или методом начисления (в зависимости от того, каким способом предприятие определяет базу по налогу на прибыль). При этом выручка от реализации берется без учета НДС и акцизов. Это следует из того, что при определении доходов от реализации из них исключаются суммы налогов, предъявленные налогоплательщиком покупателю (п.</w:t>
      </w:r>
      <w:r>
        <w:t xml:space="preserve"> </w:t>
      </w:r>
      <w:r w:rsidRPr="00B369EA">
        <w:t>1 ст.</w:t>
      </w:r>
      <w:r>
        <w:t xml:space="preserve"> </w:t>
      </w:r>
      <w:r w:rsidRPr="00B369EA">
        <w:t xml:space="preserve">248 НК РФ). </w:t>
      </w:r>
    </w:p>
    <w:p w:rsidR="009C7D88" w:rsidRPr="00B369EA" w:rsidRDefault="009C7D88" w:rsidP="009C7D88">
      <w:pPr>
        <w:spacing w:before="120"/>
        <w:ind w:firstLine="567"/>
        <w:jc w:val="both"/>
      </w:pPr>
      <w:r w:rsidRPr="00B369EA">
        <w:t xml:space="preserve">Как показала аудиторская практика, у бухгалтеров в основном возникают вопросы по нормируемым рекламным расходам, в связи с чем мы уделим им больше внимания. Итак, к нормируемым рекламным расходам, в силу абз. 5 п. 4 ст. 264 НК РФ, относятся: </w:t>
      </w:r>
    </w:p>
    <w:p w:rsidR="009C7D88" w:rsidRDefault="009C7D88" w:rsidP="009C7D88">
      <w:pPr>
        <w:spacing w:before="120"/>
        <w:ind w:firstLine="567"/>
        <w:jc w:val="both"/>
      </w:pPr>
      <w:r w:rsidRPr="00B369EA">
        <w:t>– расходы налогоплательщика на приобретение (изготовление) призов, вручаемых победителям розыгрышей таких призов во время проведения массовых рекламных кампаний;</w:t>
      </w:r>
    </w:p>
    <w:p w:rsidR="009C7D88" w:rsidRPr="00B369EA" w:rsidRDefault="009C7D88" w:rsidP="009C7D88">
      <w:pPr>
        <w:spacing w:before="120"/>
        <w:ind w:firstLine="567"/>
        <w:jc w:val="both"/>
      </w:pPr>
      <w:r w:rsidRPr="00B369EA">
        <w:t>– расходы на иные виды рекламы.</w:t>
      </w:r>
    </w:p>
    <w:p w:rsidR="009C7D88" w:rsidRPr="00B369EA" w:rsidRDefault="009C7D88" w:rsidP="009C7D88">
      <w:pPr>
        <w:spacing w:before="120"/>
        <w:ind w:firstLine="567"/>
        <w:jc w:val="both"/>
      </w:pPr>
      <w:r w:rsidRPr="00B369EA">
        <w:t>К иным видам рекламы относятся не поименованные в составе ненормируемых расходы. Ими могут быть: проведение рекламных кампаний, в ходе которых некоторые товары (образцы товаров) передаются покупателям бесплатно; раздача мелких сувениров с логотипом организации (футболок, кружек, ручек, календарей и т.п.); дегустация выпускаемой продукции; распространение листовок и буклетов и т.п.</w:t>
      </w:r>
    </w:p>
    <w:p w:rsidR="009C7D88" w:rsidRPr="00B369EA" w:rsidRDefault="009C7D88" w:rsidP="009C7D88">
      <w:pPr>
        <w:spacing w:before="120"/>
        <w:ind w:firstLine="567"/>
        <w:jc w:val="both"/>
      </w:pPr>
      <w:r w:rsidRPr="00B369EA">
        <w:t xml:space="preserve">Обратите внимание: поскольку иные виды рекламы в гл. 25 НК РФ не определены, они подлежат определению применительно к нормам законодательства о рекламе. </w:t>
      </w:r>
    </w:p>
    <w:p w:rsidR="009C7D88" w:rsidRPr="00B369EA" w:rsidRDefault="009C7D88" w:rsidP="009C7D88">
      <w:pPr>
        <w:spacing w:before="120"/>
        <w:ind w:firstLine="567"/>
        <w:jc w:val="both"/>
      </w:pPr>
      <w:r w:rsidRPr="00B369EA">
        <w:t xml:space="preserve">В соответствии со ст. 2 Федерального закона «О рекламе»[1] под рекламой понимается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способствовать реализации товаров, идей и начинаний. </w:t>
      </w:r>
    </w:p>
    <w:p w:rsidR="009C7D88" w:rsidRPr="00B369EA" w:rsidRDefault="009C7D88" w:rsidP="009C7D88">
      <w:pPr>
        <w:spacing w:before="120"/>
        <w:ind w:firstLine="567"/>
        <w:jc w:val="both"/>
      </w:pPr>
      <w:r w:rsidRPr="00B369EA">
        <w:t xml:space="preserve">Сопоставление норм налогового законодательства и законодательства о рекламе приводит к выводу, что ключевым положением для учета расходов на рекламу в целях налогообложения прибыли является распространение информации неопределенному кругу лиц. Если отсутствует элемент неопределенности получателей, характерный для распространения рекламной информации (например, передача продукции с логотипом предприятия осуществлена клиентам – заказчикам, покупателям, то есть конкретным лицам), то произведенные затраты не могут быть отнесены к рекламным расходам, учитываемым при налогообложении прибыли (см., например, Постановление ФАС МО от 28.04.05 № КА-А40/3274-05). Подобная раздача товаров (продукции) будет расценена налоговыми органами как обычная безвозмездная передача, и, как следствие, их стоимость, а также затраты, связанные с такой передачей, будут исключены из налоговых расходов (пп. 16 ст. 270 НК РФ). Логика законодателя в решении этого вопроса такова: указанные затраты не являются экономически обоснованными, так как напрямую не влекут увеличения дохода налогоплательщика. </w:t>
      </w:r>
    </w:p>
    <w:p w:rsidR="009C7D88" w:rsidRPr="00B369EA" w:rsidRDefault="009C7D88" w:rsidP="009C7D88">
      <w:pPr>
        <w:spacing w:before="120"/>
        <w:ind w:firstLine="567"/>
        <w:jc w:val="both"/>
      </w:pPr>
      <w:r w:rsidRPr="00B369EA">
        <w:t xml:space="preserve">Вместе с тем обращаем ваше внимание на то, что любую ситуацию по рекламе следует рассматривать индивидуально для каждого конкретного случая. Так, в Письме УМНС по г. Москве от 22.03.04 № 26-12/18582 было рассмотрено следующее. Командированными работниками маркетинговой службы производителя была осуществлена передача образцов готовой продукции заранее определенным потенциальным покупателям. Понятно, что пп. 16 ст. 270 НК РФ не дает возможности учитывать данные расходы в целях налогообложения. В то же время в письме было указано: расходы по передаче образцов продукции могут быть признаны экономически оправданными, если их передача способствовала заключению договоров на поставку с конкретной организацией, которой были переданы образцы, и, следовательно, могут быть учтены для целей налогообложения прибыли как прочие расходы на основании пункта 1 статьи 252 НК РФ. </w:t>
      </w:r>
    </w:p>
    <w:p w:rsidR="009C7D88" w:rsidRPr="00B369EA" w:rsidRDefault="009C7D88" w:rsidP="009C7D88">
      <w:pPr>
        <w:spacing w:before="120"/>
        <w:ind w:firstLine="567"/>
        <w:jc w:val="both"/>
      </w:pPr>
      <w:r w:rsidRPr="00B369EA">
        <w:t xml:space="preserve">Налоговые последствия во многом зависят от того, как будет оформлена эта операция. Например, в приказе директора по организации может быть указано, что раздача товаров будет осуществлена в целях увеличения числа заключенных договоров, объема поставок и, соответственно, прибыли организации. Дополнительным преимуществом станут и внутренние документы компании, закрепляющие данные операции как составную часть маркетинговой политики организации, способствующей росту прибыли налогоплательщика. </w:t>
      </w:r>
    </w:p>
    <w:p w:rsidR="009C7D88" w:rsidRPr="00462361" w:rsidRDefault="009C7D88" w:rsidP="009C7D88">
      <w:pPr>
        <w:spacing w:before="120"/>
        <w:jc w:val="center"/>
        <w:rPr>
          <w:b/>
          <w:bCs/>
          <w:sz w:val="28"/>
          <w:szCs w:val="28"/>
        </w:rPr>
      </w:pPr>
      <w:r w:rsidRPr="00462361">
        <w:rPr>
          <w:b/>
          <w:bCs/>
          <w:sz w:val="28"/>
          <w:szCs w:val="28"/>
        </w:rPr>
        <w:t xml:space="preserve">Дегустация выпускаемой продукции </w:t>
      </w:r>
    </w:p>
    <w:p w:rsidR="009C7D88" w:rsidRPr="00B369EA" w:rsidRDefault="009C7D88" w:rsidP="009C7D88">
      <w:pPr>
        <w:spacing w:before="120"/>
        <w:ind w:firstLine="567"/>
        <w:jc w:val="both"/>
      </w:pPr>
      <w:r w:rsidRPr="00B369EA">
        <w:t xml:space="preserve">Одним из видов рекламной кампании является дегустация выпускаемой продукции. Расходы по этой акции можно отнести к рекламным в том случае, если она проводится в публичном заведении (например, в магазине). </w:t>
      </w:r>
    </w:p>
    <w:tbl>
      <w:tblPr>
        <w:tblW w:w="5000" w:type="pct"/>
        <w:tblCellSpacing w:w="0" w:type="dxa"/>
        <w:tblInd w:w="-9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818"/>
      </w:tblGrid>
      <w:tr w:rsidR="009C7D88" w:rsidRPr="00B369EA" w:rsidTr="00A81C14">
        <w:trPr>
          <w:tblCellSpacing w:w="0" w:type="dxa"/>
        </w:trPr>
        <w:tc>
          <w:tcPr>
            <w:tcW w:w="0" w:type="auto"/>
            <w:tcBorders>
              <w:top w:val="outset" w:sz="6" w:space="0" w:color="auto"/>
              <w:bottom w:val="outset" w:sz="6" w:space="0" w:color="auto"/>
            </w:tcBorders>
            <w:vAlign w:val="center"/>
          </w:tcPr>
          <w:p w:rsidR="009C7D88" w:rsidRPr="00B369EA" w:rsidRDefault="009C7D88" w:rsidP="00A81C14">
            <w:pPr>
              <w:spacing w:before="120"/>
              <w:ind w:firstLine="567"/>
              <w:jc w:val="both"/>
            </w:pPr>
            <w:r w:rsidRPr="00B369EA">
              <w:t xml:space="preserve">Расходы налогоплательщика по проведению дегустации своих продуктов в крупных торговых залах во время массовых рекламных кампаний, отвечающих целям статье 2 Федерального закона «О рекламе» (при соблюдении условий статьи 252 НК РФ), относятся к нормируемым расходам и принимаются к вычету при определении налогооблагаемой базы в размере, не превышающем 1 процента выручки (Письмо УФНС по Санкт-Петербургу от 28.06.05 № 02-05/13343). </w:t>
            </w:r>
          </w:p>
        </w:tc>
      </w:tr>
    </w:tbl>
    <w:p w:rsidR="009C7D88" w:rsidRPr="00B369EA" w:rsidRDefault="009C7D88" w:rsidP="009C7D88">
      <w:pPr>
        <w:spacing w:before="120"/>
        <w:ind w:firstLine="567"/>
        <w:jc w:val="both"/>
      </w:pPr>
      <w:r w:rsidRPr="00B369EA">
        <w:t xml:space="preserve">При этом (на что нами уже было обращено внимание читателей) затраты на дегустацию товаров, работ, услуг могут быть признаны в составе рекламных расходов только в том случае, если выполняются положения Федерального закона «О рекламе». </w:t>
      </w:r>
    </w:p>
    <w:p w:rsidR="009C7D88" w:rsidRPr="00B369EA" w:rsidRDefault="009C7D88" w:rsidP="009C7D88">
      <w:pPr>
        <w:spacing w:before="120"/>
        <w:ind w:firstLine="567"/>
        <w:jc w:val="both"/>
      </w:pPr>
      <w:r w:rsidRPr="00B369EA">
        <w:t>Если дегустация проводится по специальным приглашениям в офисе производителя, то указанные затраты не относятся к рекламным расходам. Такой же точки зрения придерживается УМНС РФ по г. Москве в Письме от12.05.03 № 26-12/25950.</w:t>
      </w:r>
    </w:p>
    <w:p w:rsidR="009C7D88" w:rsidRPr="00462361" w:rsidRDefault="009C7D88" w:rsidP="009C7D88">
      <w:pPr>
        <w:spacing w:before="120"/>
        <w:jc w:val="center"/>
        <w:rPr>
          <w:b/>
          <w:bCs/>
          <w:sz w:val="28"/>
          <w:szCs w:val="28"/>
        </w:rPr>
      </w:pPr>
      <w:r w:rsidRPr="00462361">
        <w:rPr>
          <w:b/>
          <w:bCs/>
          <w:sz w:val="28"/>
          <w:szCs w:val="28"/>
        </w:rPr>
        <w:t xml:space="preserve">Распространение листовок и буклетов </w:t>
      </w:r>
    </w:p>
    <w:p w:rsidR="009C7D88" w:rsidRPr="00B369EA" w:rsidRDefault="009C7D88" w:rsidP="009C7D88">
      <w:pPr>
        <w:spacing w:before="120"/>
        <w:ind w:firstLine="567"/>
        <w:jc w:val="both"/>
      </w:pPr>
      <w:r w:rsidRPr="00B369EA">
        <w:t xml:space="preserve">Во время рекламной кампании потенциальным клиентам фирмы часто раздают буклеты и листовки. Это может быть как самостоятельная рекламная акция, так и одна из составляющих других видов рекламы. </w:t>
      </w:r>
    </w:p>
    <w:p w:rsidR="009C7D88" w:rsidRPr="00B369EA" w:rsidRDefault="009C7D88" w:rsidP="009C7D88">
      <w:pPr>
        <w:spacing w:before="120"/>
        <w:ind w:firstLine="567"/>
        <w:jc w:val="both"/>
      </w:pPr>
      <w:r w:rsidRPr="00B369EA">
        <w:t xml:space="preserve">Обратите внимание: в закрытом перечне ненормируемых рекламных расходов указаны расходы на изготовление рекламных брошюр и каталогов. Слов «листовки» и «буклеты» в нем нет, в связи с чем налоговые органы могут потребовать учитывать расходы на их изготовление в целях налогообложения прибыли в пределах норматива. Избежать спорной ситуации налогоплательщики смогут, если в первичных документах (договорах, счетах-фактурах, накладных и т.д.) вместо слов «буклеты» и «листовки» укажут «брошюры» и «каталоги», которые поименованы в абз. 4 п. 4 ст. 264 НК РФ. </w:t>
      </w:r>
    </w:p>
    <w:p w:rsidR="009C7D88" w:rsidRPr="00B369EA" w:rsidRDefault="009C7D88" w:rsidP="009C7D88">
      <w:pPr>
        <w:spacing w:before="120"/>
        <w:ind w:firstLine="567"/>
        <w:jc w:val="both"/>
      </w:pPr>
      <w:r w:rsidRPr="00B369EA">
        <w:t xml:space="preserve">Кроме того, если листовки или буклеты напечатаны для их раздачи на выставке или ярмарке, то эти расходы можно включить для целей налогообложения прибыли полностью, а не нормировать. Дело в том, что согласно п. 4 ст. 264 НК РФ расходы на участие в выставках и ярмарках включаются без норматива. Расходы на изготовление буклетов и листовок следует включить в смету расходов на участие в выставке. Необходим также приказ руководителя организации о распространении рекламной печатной продукции. </w:t>
      </w:r>
    </w:p>
    <w:p w:rsidR="009C7D88" w:rsidRDefault="009C7D88" w:rsidP="009C7D88">
      <w:pPr>
        <w:spacing w:before="120"/>
        <w:ind w:firstLine="567"/>
        <w:jc w:val="both"/>
      </w:pPr>
      <w:r w:rsidRPr="00B369EA">
        <w:t xml:space="preserve">В судебных разбирательствах по данному вопросу имеет место положительная арбитражная практика (см., например, Постановление ФАС ВВО от 13.01.05 № А43-1729/2004-32-152, в котором суд посчитал правомерным отнесение обществом части затрат на рекламу печатного характера (в том числе листовок) к ненормируемым расходам, поскольку они использовались налогоплательщиком для оформления витрины и распространения в рекламных акциях). </w:t>
      </w:r>
      <w:r>
        <w:t xml:space="preserve"> </w:t>
      </w:r>
    </w:p>
    <w:p w:rsidR="009C7D88" w:rsidRPr="00462361" w:rsidRDefault="009C7D88" w:rsidP="009C7D88">
      <w:pPr>
        <w:spacing w:before="120"/>
        <w:jc w:val="center"/>
        <w:rPr>
          <w:b/>
          <w:bCs/>
          <w:sz w:val="28"/>
          <w:szCs w:val="28"/>
        </w:rPr>
      </w:pPr>
      <w:r w:rsidRPr="00462361">
        <w:rPr>
          <w:b/>
          <w:bCs/>
          <w:sz w:val="28"/>
          <w:szCs w:val="28"/>
        </w:rPr>
        <w:t xml:space="preserve">Распродажа </w:t>
      </w:r>
    </w:p>
    <w:p w:rsidR="009C7D88" w:rsidRDefault="009C7D88" w:rsidP="009C7D88">
      <w:pPr>
        <w:spacing w:before="120"/>
        <w:ind w:firstLine="567"/>
        <w:jc w:val="both"/>
      </w:pPr>
      <w:r w:rsidRPr="00B369EA">
        <w:t>«При покупке товара на определенную сумму вы получаете подарок» или «Только в этом месяце в нашем магазине распродажа товара по сниженным ценам» – такие рекламные акции проводятся торговыми организациями достаточно часто с целью ускорения реализации товара, продвижения его на новые рынки и т.п., то есть с применением так называемых скидок. Материал о том, какие налоговые последствия ожидают налогоплательщика в случае осуществления подобных рекламных акций, был напечатан в № 9 нашего журнала[2], поэтому в рамках настоящей статьи они рассматриваться не будут.</w:t>
      </w:r>
      <w:r>
        <w:t xml:space="preserve"> </w:t>
      </w:r>
    </w:p>
    <w:p w:rsidR="009C7D88" w:rsidRPr="00462361" w:rsidRDefault="009C7D88" w:rsidP="009C7D88">
      <w:pPr>
        <w:spacing w:before="120"/>
        <w:jc w:val="center"/>
        <w:rPr>
          <w:b/>
          <w:bCs/>
          <w:sz w:val="28"/>
          <w:szCs w:val="28"/>
        </w:rPr>
      </w:pPr>
      <w:r w:rsidRPr="00462361">
        <w:rPr>
          <w:b/>
          <w:bCs/>
          <w:sz w:val="28"/>
          <w:szCs w:val="28"/>
        </w:rPr>
        <w:t xml:space="preserve">Приобретение и раздача мелких сувениров на выставке и во время рекламных акций </w:t>
      </w:r>
    </w:p>
    <w:p w:rsidR="009C7D88" w:rsidRPr="00B369EA" w:rsidRDefault="009C7D88" w:rsidP="009C7D88">
      <w:pPr>
        <w:spacing w:before="120"/>
        <w:ind w:firstLine="567"/>
        <w:jc w:val="both"/>
      </w:pPr>
      <w:r w:rsidRPr="00B369EA">
        <w:t xml:space="preserve">Если распространяемые организацией сувениры содержат символику организации (ее наименование, адреса и контактные телефоны, указание на осуществляемые виды деятельности и др.), они являются носителями информации рекламного характера. В связи с этим расходы на их приобретение являются частью производственно необходимых затрат, учитываемых для целей налогообложения прибыли. </w:t>
      </w:r>
    </w:p>
    <w:p w:rsidR="009C7D88" w:rsidRPr="00B369EA" w:rsidRDefault="009C7D88" w:rsidP="009C7D88">
      <w:pPr>
        <w:spacing w:before="120"/>
        <w:ind w:firstLine="567"/>
        <w:jc w:val="both"/>
      </w:pPr>
      <w:r w:rsidRPr="00B369EA">
        <w:t xml:space="preserve">Пример 1. </w:t>
      </w:r>
    </w:p>
    <w:p w:rsidR="009C7D88" w:rsidRDefault="009C7D88" w:rsidP="009C7D88">
      <w:pPr>
        <w:spacing w:before="120"/>
        <w:ind w:firstLine="567"/>
        <w:jc w:val="both"/>
      </w:pPr>
      <w:r w:rsidRPr="00B369EA">
        <w:t>В июне 2005 г. в целях повышения спроса на свою продукцию торговая организация провела акцию среди потенциальных покупателей, где им были подарены ручки с логотипом фирмы. Стоимость ручек составила 11 800 руб., в том числе НДС – 1 800 руб.</w:t>
      </w:r>
    </w:p>
    <w:p w:rsidR="009C7D88" w:rsidRPr="00B369EA" w:rsidRDefault="009C7D88" w:rsidP="009C7D88">
      <w:pPr>
        <w:spacing w:before="120"/>
        <w:ind w:firstLine="567"/>
        <w:jc w:val="both"/>
      </w:pPr>
      <w:r w:rsidRPr="00B369EA">
        <w:t>Выручка от реализации продукции за полугодие 2005 г. составила 354 000 руб., в том числе НДС – 54</w:t>
      </w:r>
      <w:r>
        <w:t xml:space="preserve"> </w:t>
      </w:r>
      <w:r w:rsidRPr="00B369EA">
        <w:t xml:space="preserve">000 руб. </w:t>
      </w:r>
    </w:p>
    <w:p w:rsidR="009C7D88" w:rsidRPr="00B369EA" w:rsidRDefault="009C7D88" w:rsidP="009C7D88">
      <w:pPr>
        <w:spacing w:before="120"/>
        <w:ind w:firstLine="567"/>
        <w:jc w:val="both"/>
      </w:pPr>
      <w:r w:rsidRPr="00B369EA">
        <w:t xml:space="preserve">На основании п. 4 ст. 264 НК РФ затраты на изготовление сувениров с логотипом фирмы нормируются, и, соответственно, предельная величина расходов на изготовление ручек, относимая для целей налогообложения прибыли к прочим расходам, составит 3 000 руб. ((354 000 руб. - 54 000 руб.) х 1%). </w:t>
      </w:r>
    </w:p>
    <w:p w:rsidR="009C7D88" w:rsidRPr="00B369EA" w:rsidRDefault="009C7D88" w:rsidP="009C7D88">
      <w:pPr>
        <w:spacing w:before="120"/>
        <w:ind w:firstLine="567"/>
        <w:jc w:val="both"/>
      </w:pPr>
      <w:r w:rsidRPr="00B369EA">
        <w:t>Расходы на рекламу сверх норм в сумме 7 000 руб. (10 000 - 3 000) налогооблагаемую прибыль организации не уменьшают (п.</w:t>
      </w:r>
      <w:r>
        <w:t xml:space="preserve"> </w:t>
      </w:r>
      <w:r w:rsidRPr="00B369EA">
        <w:t>44 ст.</w:t>
      </w:r>
      <w:r>
        <w:t xml:space="preserve"> </w:t>
      </w:r>
      <w:r w:rsidRPr="00B369EA">
        <w:t xml:space="preserve">270 НК РФ). </w:t>
      </w:r>
    </w:p>
    <w:p w:rsidR="009C7D88" w:rsidRPr="00B369EA" w:rsidRDefault="009C7D88" w:rsidP="009C7D88">
      <w:pPr>
        <w:spacing w:before="120"/>
        <w:ind w:firstLine="567"/>
        <w:jc w:val="both"/>
      </w:pPr>
      <w:r w:rsidRPr="00B369EA">
        <w:t>В бухгалтерском учете организации будут сделаны следующие записи: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051"/>
        <w:gridCol w:w="1484"/>
        <w:gridCol w:w="1638"/>
        <w:gridCol w:w="1645"/>
      </w:tblGrid>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Содержание операции </w:t>
            </w:r>
          </w:p>
        </w:tc>
        <w:tc>
          <w:tcPr>
            <w:tcW w:w="756" w:type="pct"/>
            <w:tcBorders>
              <w:top w:val="outset" w:sz="6" w:space="0" w:color="auto"/>
              <w:left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Дебет </w:t>
            </w:r>
          </w:p>
        </w:tc>
        <w:tc>
          <w:tcPr>
            <w:tcW w:w="834" w:type="pct"/>
            <w:tcBorders>
              <w:top w:val="outset" w:sz="6" w:space="0" w:color="auto"/>
              <w:left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Кредит </w:t>
            </w:r>
          </w:p>
        </w:tc>
        <w:tc>
          <w:tcPr>
            <w:tcW w:w="838" w:type="pct"/>
            <w:tcBorders>
              <w:top w:val="outset" w:sz="6" w:space="0" w:color="auto"/>
              <w:left w:val="outset" w:sz="6" w:space="0" w:color="auto"/>
              <w:bottom w:val="outset" w:sz="6" w:space="0" w:color="auto"/>
            </w:tcBorders>
            <w:vAlign w:val="center"/>
          </w:tcPr>
          <w:p w:rsidR="009C7D88" w:rsidRDefault="009C7D88" w:rsidP="00A81C14">
            <w:pPr>
              <w:jc w:val="both"/>
            </w:pPr>
            <w:r w:rsidRPr="00B369EA">
              <w:t>Сумма,</w:t>
            </w:r>
          </w:p>
          <w:p w:rsidR="009C7D88" w:rsidRPr="00B369EA" w:rsidRDefault="009C7D88" w:rsidP="00A81C14">
            <w:pPr>
              <w:jc w:val="both"/>
            </w:pPr>
            <w:r w:rsidRPr="00B369EA">
              <w:t xml:space="preserve">руб. </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Pr="00B369EA" w:rsidRDefault="009C7D88" w:rsidP="00A81C14">
            <w:pPr>
              <w:jc w:val="both"/>
            </w:pPr>
            <w:r w:rsidRPr="00B369EA">
              <w:t>Получены ручки с логотипом организации</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41</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60</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10 000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Pr="00B369EA" w:rsidRDefault="009C7D88" w:rsidP="00A81C14">
            <w:pPr>
              <w:jc w:val="both"/>
            </w:pPr>
            <w:r w:rsidRPr="00B369EA">
              <w:t>Отражен НДС</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19</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60</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1 800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Pr="00B369EA" w:rsidRDefault="009C7D88" w:rsidP="00A81C14">
            <w:pPr>
              <w:jc w:val="both"/>
            </w:pPr>
            <w:r w:rsidRPr="00B369EA">
              <w:t>Оплачена сувенирная продукция</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60</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51</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11 800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Pr="00B369EA" w:rsidRDefault="009C7D88" w:rsidP="00A81C14">
            <w:pPr>
              <w:jc w:val="both"/>
            </w:pPr>
            <w:r w:rsidRPr="00B369EA">
              <w:t>Отражена стоимость подаренных ручек</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44</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41</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10 000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Default="009C7D88" w:rsidP="00A81C14">
            <w:pPr>
              <w:jc w:val="both"/>
            </w:pPr>
            <w:r w:rsidRPr="00B369EA">
              <w:t>Отражено постоянное налоговое обязательство на сумму сверхнормативных расходов на рекламу &lt;**&gt;</w:t>
            </w:r>
          </w:p>
          <w:p w:rsidR="009C7D88" w:rsidRPr="00B369EA" w:rsidRDefault="009C7D88" w:rsidP="00A81C14">
            <w:pPr>
              <w:jc w:val="both"/>
            </w:pPr>
            <w:r w:rsidRPr="00B369EA">
              <w:t>(10 000 - 3 000) руб. х 24%</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99</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68 &lt;*&gt;</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1 680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Default="009C7D88" w:rsidP="00A81C14">
            <w:pPr>
              <w:jc w:val="both"/>
            </w:pPr>
            <w:r w:rsidRPr="00B369EA">
              <w:t>Принят к вычету НДС со стоимости сувениров в пределах норматива</w:t>
            </w:r>
          </w:p>
          <w:p w:rsidR="009C7D88" w:rsidRPr="00B369EA" w:rsidRDefault="009C7D88" w:rsidP="00A81C14">
            <w:pPr>
              <w:jc w:val="both"/>
            </w:pPr>
            <w:r w:rsidRPr="00B369EA">
              <w:t>(3 000 руб. х 18%)</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68 НДС</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19</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540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Default="009C7D88" w:rsidP="00A81C14">
            <w:pPr>
              <w:jc w:val="both"/>
            </w:pPr>
            <w:r w:rsidRPr="00B369EA">
              <w:t>Списана сумма НДС со сверхнормативной стоимости сувениров</w:t>
            </w:r>
          </w:p>
          <w:p w:rsidR="009C7D88" w:rsidRPr="00B369EA" w:rsidRDefault="009C7D88" w:rsidP="00A81C14">
            <w:pPr>
              <w:jc w:val="both"/>
            </w:pPr>
            <w:r w:rsidRPr="00B369EA">
              <w:t>(1 800 - 540) руб.</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91-2</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19</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1 260</w:t>
            </w:r>
          </w:p>
        </w:tc>
      </w:tr>
      <w:tr w:rsidR="009C7D88" w:rsidRPr="00B369EA" w:rsidTr="00A81C14">
        <w:trPr>
          <w:tblCellSpacing w:w="0" w:type="dxa"/>
          <w:jc w:val="center"/>
        </w:trPr>
        <w:tc>
          <w:tcPr>
            <w:tcW w:w="2572" w:type="pct"/>
            <w:tcBorders>
              <w:top w:val="outset" w:sz="6" w:space="0" w:color="auto"/>
              <w:bottom w:val="outset" w:sz="6" w:space="0" w:color="auto"/>
              <w:right w:val="outset" w:sz="6" w:space="0" w:color="auto"/>
            </w:tcBorders>
          </w:tcPr>
          <w:p w:rsidR="009C7D88" w:rsidRDefault="009C7D88" w:rsidP="00A81C14">
            <w:pPr>
              <w:jc w:val="both"/>
            </w:pPr>
            <w:r w:rsidRPr="00B369EA">
              <w:t>Начислено постоянное налоговое обязательство на сумму НДС со сверхнормативных расходов</w:t>
            </w:r>
          </w:p>
          <w:p w:rsidR="009C7D88" w:rsidRPr="00B369EA" w:rsidRDefault="009C7D88" w:rsidP="00A81C14">
            <w:pPr>
              <w:jc w:val="both"/>
            </w:pPr>
            <w:r w:rsidRPr="00B369EA">
              <w:t>(1 260 руб. х 24%)</w:t>
            </w:r>
          </w:p>
        </w:tc>
        <w:tc>
          <w:tcPr>
            <w:tcW w:w="75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99</w:t>
            </w:r>
          </w:p>
        </w:tc>
        <w:tc>
          <w:tcPr>
            <w:tcW w:w="834"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68 &lt;*&gt;</w:t>
            </w:r>
          </w:p>
        </w:tc>
        <w:tc>
          <w:tcPr>
            <w:tcW w:w="838" w:type="pct"/>
            <w:tcBorders>
              <w:top w:val="outset" w:sz="6" w:space="0" w:color="auto"/>
              <w:left w:val="outset" w:sz="6" w:space="0" w:color="auto"/>
              <w:bottom w:val="outset" w:sz="6" w:space="0" w:color="auto"/>
            </w:tcBorders>
          </w:tcPr>
          <w:p w:rsidR="009C7D88" w:rsidRPr="00B369EA" w:rsidRDefault="009C7D88" w:rsidP="00A81C14">
            <w:pPr>
              <w:jc w:val="both"/>
            </w:pPr>
            <w:r w:rsidRPr="00B369EA">
              <w:t>302</w:t>
            </w:r>
          </w:p>
        </w:tc>
      </w:tr>
    </w:tbl>
    <w:p w:rsidR="009C7D88" w:rsidRPr="00B369EA" w:rsidRDefault="009C7D88" w:rsidP="009C7D88">
      <w:pPr>
        <w:spacing w:before="120"/>
        <w:ind w:firstLine="567"/>
        <w:jc w:val="both"/>
      </w:pPr>
      <w:r w:rsidRPr="00B369EA">
        <w:t xml:space="preserve">&lt;*&gt; Субсчет «Налог на прибыль». </w:t>
      </w:r>
    </w:p>
    <w:p w:rsidR="009C7D88" w:rsidRPr="00B369EA" w:rsidRDefault="009C7D88" w:rsidP="009C7D88">
      <w:pPr>
        <w:spacing w:before="120"/>
        <w:ind w:firstLine="567"/>
        <w:jc w:val="both"/>
      </w:pPr>
      <w:r w:rsidRPr="00B369EA">
        <w:t>&lt;**&gt; Размер расходов на рекламу, принимаемых при исчислении налога на прибыль, организация должна проверять в течение года за каждый отчетный период. Норматив рассчитывается нарастающим итогом с начала года, и неучтенные в одном отчетном периоде расходы могут быть признаны в другом. Но, несмотря на это, в соответствии с ПБУ 18/02[3] сверхнормативные расходы – это постоянная разница, которую в дальнейшем при соблюдении норматива нужно погасить проводкой: сторно Дебет 99 Кредит 68 субсчет «Налог на прибыль».</w:t>
      </w:r>
    </w:p>
    <w:p w:rsidR="009C7D88" w:rsidRPr="00462361" w:rsidRDefault="009C7D88" w:rsidP="009C7D88">
      <w:pPr>
        <w:spacing w:before="120"/>
        <w:jc w:val="center"/>
        <w:rPr>
          <w:b/>
          <w:bCs/>
          <w:sz w:val="28"/>
          <w:szCs w:val="28"/>
        </w:rPr>
      </w:pPr>
      <w:r w:rsidRPr="00462361">
        <w:rPr>
          <w:b/>
          <w:bCs/>
          <w:sz w:val="28"/>
          <w:szCs w:val="28"/>
        </w:rPr>
        <w:t>Налог на добавленную стоимость</w:t>
      </w:r>
    </w:p>
    <w:p w:rsidR="009C7D88" w:rsidRPr="00462361" w:rsidRDefault="009C7D88" w:rsidP="009C7D88">
      <w:pPr>
        <w:spacing w:before="120"/>
        <w:jc w:val="center"/>
        <w:rPr>
          <w:b/>
          <w:bCs/>
          <w:sz w:val="28"/>
          <w:szCs w:val="28"/>
        </w:rPr>
      </w:pPr>
      <w:r w:rsidRPr="00462361">
        <w:rPr>
          <w:b/>
          <w:bCs/>
          <w:sz w:val="28"/>
          <w:szCs w:val="28"/>
        </w:rPr>
        <w:t xml:space="preserve">О налоговых вычетах </w:t>
      </w:r>
    </w:p>
    <w:p w:rsidR="009C7D88" w:rsidRPr="00B369EA" w:rsidRDefault="009C7D88" w:rsidP="009C7D88">
      <w:pPr>
        <w:spacing w:before="120"/>
        <w:ind w:firstLine="567"/>
        <w:jc w:val="both"/>
      </w:pPr>
      <w:r w:rsidRPr="00B369EA">
        <w:t xml:space="preserve">Пунктом 7 ст. 171 НК РФ определено, что если в соответствии с гл. 25 НК РФ расходы принимаются для целей налогообложения по нормативам, суммы налога по таким расходам подлежат вычету в размере, соответствующем указанным нормам. Таким образом, «входной» НДС можно принять к вычету только в том размере, который соответствует нормативу рекламных расходов, а «сверхнормативный» налог зачесть из бюджета нельзя. Кроме этого, нельзя учесть его и в составе расходов для исчисления налога на прибыль. Таким образом, НДС, приходящийся на сверхнормативные рекламные расходы, к вычету не принимается и списывается за счет собственных средств. </w:t>
      </w:r>
    </w:p>
    <w:p w:rsidR="009C7D88" w:rsidRPr="00B369EA" w:rsidRDefault="009C7D88" w:rsidP="009C7D88">
      <w:pPr>
        <w:spacing w:before="120"/>
        <w:ind w:firstLine="567"/>
        <w:jc w:val="both"/>
      </w:pPr>
      <w:r w:rsidRPr="00B369EA">
        <w:t xml:space="preserve">Вопрос: приводит ли увеличение предельной суммы принимаемых рекламных расходов на протяжении года к возникновению дополнительных сумм налогового вычета по НДС? </w:t>
      </w:r>
    </w:p>
    <w:p w:rsidR="009C7D88" w:rsidRPr="00B369EA" w:rsidRDefault="009C7D88" w:rsidP="009C7D88">
      <w:pPr>
        <w:spacing w:before="120"/>
        <w:ind w:firstLine="567"/>
        <w:jc w:val="both"/>
      </w:pPr>
      <w:r w:rsidRPr="00B369EA">
        <w:t xml:space="preserve">Как уже было отмечено, нормируемые расходы считают нарастающим итогом с начала года, поэтому может случиться так, что, например, в I квартале фирма превысит норматив рекламных расходов, а по итогам полугодия – нет. Или, наоборот, по результатам полугодия компания уложится в норматив, а в конце года фактические расходы превысят его. Значит, сумма «нормативного» «входного» НДС будет меняться, и ее нужно регулярно пересчитывать. </w:t>
      </w:r>
    </w:p>
    <w:p w:rsidR="009C7D88" w:rsidRPr="00B369EA" w:rsidRDefault="009C7D88" w:rsidP="009C7D88">
      <w:pPr>
        <w:spacing w:before="120"/>
        <w:ind w:firstLine="567"/>
        <w:jc w:val="both"/>
      </w:pPr>
      <w:r w:rsidRPr="00B369EA">
        <w:t xml:space="preserve">Отчитываться по НДС надо ежемесячно или ежеквартально. По налогу на прибыль отчетные периоды – I квартал, полугодие, 9 месяцев и год (или один месяц, два месяца, три месяца и т.п. ). Если отчетные периоды по обоим налогам совпадают, то такой перерасчет делают в конце каждого квартала или месяца. А если нет, то норматив рекламных расходов и сумму «нормативного» НДС пересчитывают в конце каждого отчетного периода по налогу на прибыль. </w:t>
      </w:r>
    </w:p>
    <w:p w:rsidR="009C7D88" w:rsidRPr="00B369EA" w:rsidRDefault="009C7D88" w:rsidP="009C7D88">
      <w:pPr>
        <w:spacing w:before="120"/>
        <w:ind w:firstLine="567"/>
        <w:jc w:val="both"/>
      </w:pPr>
      <w:r w:rsidRPr="00B369EA">
        <w:t>Для наглядности продолжим пример 1 и предположим, что в следующем квартале торговая организация рекламных мероприятий не проводила. По результатам 9 месяцев ее выручка составила 1 416 000 руб., в том числе НДС – 216</w:t>
      </w:r>
      <w:r>
        <w:t xml:space="preserve"> </w:t>
      </w:r>
      <w:r w:rsidRPr="00B369EA">
        <w:t>000 руб. Значит, сумма соответствующих норме рекламных расходов будет равна 12 000 руб. ((1 416 000 - 216 000) руб. х 1%). То есть для целей налогообложения прибыли можно учесть оставшиеся 7</w:t>
      </w:r>
      <w:r>
        <w:t xml:space="preserve"> </w:t>
      </w:r>
      <w:r w:rsidRPr="00B369EA">
        <w:t xml:space="preserve">000 руб. (3 000 руб. были учтены в первом полугодии). Получается, что и НДС по рекламным расходам можно полностью принять к вычету, а налог, который был списан за счет собственных средств, нужно восстановить проводкой: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153"/>
        <w:gridCol w:w="1453"/>
        <w:gridCol w:w="1602"/>
        <w:gridCol w:w="1610"/>
      </w:tblGrid>
      <w:tr w:rsidR="009C7D88" w:rsidRPr="00B369EA" w:rsidTr="00A81C14">
        <w:trPr>
          <w:tblCellSpacing w:w="0" w:type="dxa"/>
          <w:jc w:val="center"/>
        </w:trPr>
        <w:tc>
          <w:tcPr>
            <w:tcW w:w="2624" w:type="pct"/>
            <w:tcBorders>
              <w:top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Содержание операции </w:t>
            </w:r>
          </w:p>
        </w:tc>
        <w:tc>
          <w:tcPr>
            <w:tcW w:w="740" w:type="pct"/>
            <w:tcBorders>
              <w:top w:val="outset" w:sz="6" w:space="0" w:color="auto"/>
              <w:left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Дебет </w:t>
            </w:r>
          </w:p>
        </w:tc>
        <w:tc>
          <w:tcPr>
            <w:tcW w:w="816" w:type="pct"/>
            <w:tcBorders>
              <w:top w:val="outset" w:sz="6" w:space="0" w:color="auto"/>
              <w:left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Кредит </w:t>
            </w:r>
          </w:p>
        </w:tc>
        <w:tc>
          <w:tcPr>
            <w:tcW w:w="820" w:type="pct"/>
            <w:tcBorders>
              <w:top w:val="outset" w:sz="6" w:space="0" w:color="auto"/>
              <w:left w:val="outset" w:sz="6" w:space="0" w:color="auto"/>
              <w:bottom w:val="outset" w:sz="6" w:space="0" w:color="auto"/>
            </w:tcBorders>
            <w:vAlign w:val="center"/>
          </w:tcPr>
          <w:p w:rsidR="009C7D88" w:rsidRPr="00B369EA" w:rsidRDefault="009C7D88" w:rsidP="00A81C14">
            <w:pPr>
              <w:jc w:val="both"/>
            </w:pPr>
            <w:r w:rsidRPr="00B369EA">
              <w:t xml:space="preserve">Сумма, руб. </w:t>
            </w:r>
          </w:p>
        </w:tc>
      </w:tr>
      <w:tr w:rsidR="009C7D88" w:rsidRPr="00B369EA" w:rsidTr="00A81C14">
        <w:trPr>
          <w:tblCellSpacing w:w="0" w:type="dxa"/>
          <w:jc w:val="center"/>
        </w:trPr>
        <w:tc>
          <w:tcPr>
            <w:tcW w:w="2624" w:type="pct"/>
            <w:tcBorders>
              <w:top w:val="outset" w:sz="6" w:space="0" w:color="auto"/>
              <w:bottom w:val="outset" w:sz="6" w:space="0" w:color="auto"/>
              <w:right w:val="outset" w:sz="6" w:space="0" w:color="auto"/>
            </w:tcBorders>
          </w:tcPr>
          <w:p w:rsidR="009C7D88" w:rsidRDefault="009C7D88" w:rsidP="00A81C14">
            <w:pPr>
              <w:jc w:val="both"/>
            </w:pPr>
            <w:r w:rsidRPr="00B369EA">
              <w:t>Сторно.</w:t>
            </w:r>
          </w:p>
          <w:p w:rsidR="009C7D88" w:rsidRPr="00B369EA" w:rsidRDefault="009C7D88" w:rsidP="00A81C14">
            <w:pPr>
              <w:jc w:val="both"/>
            </w:pPr>
            <w:r w:rsidRPr="00B369EA">
              <w:t xml:space="preserve">Восстановлена сумма НДС </w:t>
            </w:r>
          </w:p>
        </w:tc>
        <w:tc>
          <w:tcPr>
            <w:tcW w:w="740"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91-2 </w:t>
            </w:r>
          </w:p>
        </w:tc>
        <w:tc>
          <w:tcPr>
            <w:tcW w:w="81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19 </w:t>
            </w:r>
          </w:p>
        </w:tc>
        <w:tc>
          <w:tcPr>
            <w:tcW w:w="820" w:type="pct"/>
            <w:tcBorders>
              <w:top w:val="outset" w:sz="6" w:space="0" w:color="auto"/>
              <w:left w:val="outset" w:sz="6" w:space="0" w:color="auto"/>
              <w:bottom w:val="outset" w:sz="6" w:space="0" w:color="auto"/>
            </w:tcBorders>
          </w:tcPr>
          <w:p w:rsidR="009C7D88" w:rsidRPr="00B369EA" w:rsidRDefault="009C7D88" w:rsidP="00A81C14">
            <w:pPr>
              <w:jc w:val="both"/>
            </w:pPr>
            <w:r w:rsidRPr="00B369EA">
              <w:t>(1</w:t>
            </w:r>
            <w:r>
              <w:t xml:space="preserve"> </w:t>
            </w:r>
            <w:r w:rsidRPr="00B369EA">
              <w:t xml:space="preserve">260) </w:t>
            </w:r>
          </w:p>
        </w:tc>
      </w:tr>
      <w:tr w:rsidR="009C7D88" w:rsidRPr="00B369EA" w:rsidTr="00A81C14">
        <w:trPr>
          <w:tblCellSpacing w:w="0" w:type="dxa"/>
          <w:jc w:val="center"/>
        </w:trPr>
        <w:tc>
          <w:tcPr>
            <w:tcW w:w="2624" w:type="pct"/>
            <w:tcBorders>
              <w:top w:val="outset" w:sz="6" w:space="0" w:color="auto"/>
              <w:bottom w:val="outset" w:sz="6" w:space="0" w:color="auto"/>
              <w:right w:val="outset" w:sz="6" w:space="0" w:color="auto"/>
            </w:tcBorders>
          </w:tcPr>
          <w:p w:rsidR="009C7D88" w:rsidRPr="00B369EA" w:rsidRDefault="009C7D88" w:rsidP="00A81C14">
            <w:pPr>
              <w:jc w:val="both"/>
            </w:pPr>
            <w:r w:rsidRPr="00B369EA">
              <w:t xml:space="preserve">Предъявлен к вычету списанный ранее НДС за счет собственных средств </w:t>
            </w:r>
          </w:p>
        </w:tc>
        <w:tc>
          <w:tcPr>
            <w:tcW w:w="740"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68 </w:t>
            </w:r>
          </w:p>
        </w:tc>
        <w:tc>
          <w:tcPr>
            <w:tcW w:w="81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19 </w:t>
            </w:r>
          </w:p>
        </w:tc>
        <w:tc>
          <w:tcPr>
            <w:tcW w:w="820" w:type="pct"/>
            <w:tcBorders>
              <w:top w:val="outset" w:sz="6" w:space="0" w:color="auto"/>
              <w:left w:val="outset" w:sz="6" w:space="0" w:color="auto"/>
              <w:bottom w:val="outset" w:sz="6" w:space="0" w:color="auto"/>
            </w:tcBorders>
          </w:tcPr>
          <w:p w:rsidR="009C7D88" w:rsidRPr="00B369EA" w:rsidRDefault="009C7D88" w:rsidP="00A81C14">
            <w:pPr>
              <w:jc w:val="both"/>
            </w:pPr>
            <w:r w:rsidRPr="00B369EA">
              <w:t xml:space="preserve">1 260 </w:t>
            </w:r>
          </w:p>
        </w:tc>
      </w:tr>
    </w:tbl>
    <w:p w:rsidR="009C7D88" w:rsidRPr="00B369EA" w:rsidRDefault="009C7D88" w:rsidP="009C7D88">
      <w:pPr>
        <w:spacing w:before="120"/>
        <w:ind w:firstLine="567"/>
        <w:jc w:val="both"/>
      </w:pPr>
      <w:r w:rsidRPr="00B369EA">
        <w:t xml:space="preserve">Однако Минфин России придерживается иной точки зрения. В Письме МФ РФ от 11.11.04 № 03-04-11/201 сказано: если рекламные расходы относятся к нескольким отчетным периодам, то НДС по ним подлежит вычету в размере, соответствующем нормативу, который применялся тогда, когда возникли эти расходы. Это значит, что сумму «нормативного» НДС рассчитывают только один раз: когда фирма понесла рекламные расходы, и больше не пересчитывают (в рамках рассматриваемого примера торговая организация сможет воспользоваться налоговым вычетом только в сумме 540 руб.). </w:t>
      </w:r>
    </w:p>
    <w:p w:rsidR="009C7D88" w:rsidRDefault="009C7D88" w:rsidP="009C7D88">
      <w:pPr>
        <w:spacing w:before="120"/>
        <w:ind w:firstLine="567"/>
        <w:jc w:val="both"/>
      </w:pPr>
      <w:r w:rsidRPr="00B369EA">
        <w:t xml:space="preserve">На наш взгляд, предложенная специалистами Минфина позиция неверна. Получается, что норматив рекламных расходов в течение года будет меняться, а «нормативная» величина «входного» НДС по ним остается без изменений. Не странно ли это? Учитывая тот факт, что письма носят рекомендательный характер, организация должна определить для себя, по какому пути пойти в подобной ситуации, если она возникнет. Скорее всего, свою точку зрения придется отстаивать в суде. </w:t>
      </w:r>
      <w:r>
        <w:t xml:space="preserve"> </w:t>
      </w:r>
    </w:p>
    <w:p w:rsidR="009C7D88" w:rsidRPr="00462361" w:rsidRDefault="009C7D88" w:rsidP="009C7D88">
      <w:pPr>
        <w:spacing w:before="120"/>
        <w:jc w:val="center"/>
        <w:rPr>
          <w:b/>
          <w:bCs/>
          <w:sz w:val="28"/>
          <w:szCs w:val="28"/>
        </w:rPr>
      </w:pPr>
      <w:r w:rsidRPr="00462361">
        <w:rPr>
          <w:b/>
          <w:bCs/>
          <w:sz w:val="28"/>
          <w:szCs w:val="28"/>
        </w:rPr>
        <w:t xml:space="preserve">Передача товаров в рекламных целях – надо ли начислять НДС? </w:t>
      </w:r>
    </w:p>
    <w:p w:rsidR="009C7D88" w:rsidRPr="00B369EA" w:rsidRDefault="009C7D88" w:rsidP="009C7D88">
      <w:pPr>
        <w:spacing w:before="120"/>
        <w:ind w:firstLine="567"/>
        <w:jc w:val="both"/>
      </w:pPr>
      <w:r w:rsidRPr="00B369EA">
        <w:t>Надо ли облагать стоимость передаваемой рекламной продукции (материалов, сувениров и призов, образцов товаров, подарков, и т.п.) в рамках рекламной акции НДС? Следует ли приравнивать такую передачу к безвозмездной передаче имущества? До недавнего времени можно было сослаться на мнение налоговых органов, сформулированное в Письме УМНС по г. Москве от 31.07.01 №</w:t>
      </w:r>
      <w:r>
        <w:t xml:space="preserve"> </w:t>
      </w:r>
      <w:r w:rsidRPr="00B369EA">
        <w:t>02-14/35611 (со ссылкой на Письмо МНС России от 02.07.01 №</w:t>
      </w:r>
      <w:r>
        <w:t xml:space="preserve"> </w:t>
      </w:r>
      <w:r w:rsidRPr="00B369EA">
        <w:t>01-4-03/858-Т245), и на стоимость передаваемой рекламной продукции не начислять НДС. Несмотря на то, что вопрос не был решен однозначно, сложившаяся арбитражная практика свидетельствовала о том, что свою точку зрения можно отстоять в суде (см. постановления ФАС СЗО от 14.12.04 № А05-3624/04-22; ФАС МО от 19.08.03 № КА-А40/5796-03П и от 13.01.03 №</w:t>
      </w:r>
      <w:r>
        <w:t xml:space="preserve"> </w:t>
      </w:r>
      <w:r w:rsidRPr="00B369EA">
        <w:t>КА-А40/8381-02). В частности, в Постановлении ФАС СЗО № А05-3624/04-22 было указано: …стоимость подарков передаваемых в рамках рекламной кампании, относится к расходам на рекламу и в связи с этим не может рассматриваться как безвозмездная передача товара применительно к пункту 1 статьи 146 НК РФ. При этом судом первой инстанции правильно принят во внимание и производственный характер этих затрат, поскольку с помощью рекламы создается положительный имидж предприятия, формируется спрос на товар путем информирования потребителей о качественных свойствах товара, стимулируется сбыт путем побуждения покупателя к приобретению конкретного товара, что в конечном итоге приводит к стабилизации работы предприятия и улучшению показателей его коммерческой деятельности.</w:t>
      </w:r>
    </w:p>
    <w:p w:rsidR="009C7D88" w:rsidRPr="00B369EA" w:rsidRDefault="009C7D88" w:rsidP="009C7D88">
      <w:pPr>
        <w:spacing w:before="120"/>
        <w:ind w:firstLine="567"/>
        <w:jc w:val="both"/>
      </w:pPr>
      <w:r w:rsidRPr="00B369EA">
        <w:t>В связи с тем, что стоимость рекламных материалов (презентационных пакетов) отнесена Обществом на издержки производства как расходы по рекламе, а также с учетом положений статьи 2 Закона № 108-ФЗ «О рекламе» правомерны выводы судебных инстанций о том, что обороты по распространению презентационных пакетов во время проведения массовых рекламных кампаний не являются объектом обложения налогом на добавленную стоимость.</w:t>
      </w:r>
    </w:p>
    <w:p w:rsidR="009C7D88" w:rsidRPr="00B369EA" w:rsidRDefault="009C7D88" w:rsidP="009C7D88">
      <w:pPr>
        <w:spacing w:before="120"/>
        <w:ind w:firstLine="567"/>
        <w:jc w:val="both"/>
      </w:pPr>
      <w:r w:rsidRPr="00B369EA">
        <w:t xml:space="preserve">Однако в 2004 году и налоговые органы (письма МНС РФ от 05.07.04 № 03-1-08/1484/18 «О налогообложении товаров, передаваемых в рекламных целях»; от 26.02.04 № 03-1-08/528/18 – приложение к Письму от 13.05.04 № 03-1-08/1191/15@), и специалисты Минфина (письма от 31.03.04 № 04-03-11/52; от 25.11.04 № 03-04-11/209 «О налогообложении бесплатной раздачи сувениров в рамках рекламных акций») высказали прямо противоположное мнение: бесплатная раздача товаров в рекламных целях для исчисления НДС должна рассматриваться как безвозмездная передача товаров и, следовательно, облагается НДС. Причем н а основании п. 2 ст. 154 НК РФ налоговую базу следует определять исходя из рыночных цен в порядке, аналогичном прописанному в ст. 40 НК РФ, с учетом акцизов (для подакцизных товаров) и без включения НДС. То есть в целях налогового учета стоимость раздаваемой продукции во избежание негативных последствий в виде доначисления налогов и пеней целесообразно рассчитывать в рамках 20%-ного отклонения от используемых в текущей деятельности цен. </w:t>
      </w:r>
    </w:p>
    <w:p w:rsidR="009C7D88" w:rsidRPr="00B369EA" w:rsidRDefault="009C7D88" w:rsidP="009C7D88">
      <w:pPr>
        <w:spacing w:before="120"/>
        <w:ind w:firstLine="567"/>
        <w:jc w:val="both"/>
      </w:pPr>
      <w:r w:rsidRPr="00B369EA">
        <w:t xml:space="preserve">Однако эта позиция, на наш взгляд, основана на формальном подходе, который не учитывает следующее. Стоимость бесплатно передаваемой покупателям в рекламных целях продукции включается в себестоимость реализуемой продукции (работ, услуг). Это означает, что стоимость переданных образцов товаров наряду с другими затратами, включаемыми согласно действующему законодательству в издержки производства и обращения, участвует в формировании продажной цены на реализуемую продукцию (товары). Покупатели при оплате продукции (товаров) возмещают продавцу все его затраты, включенные в себестоимость реализованной продукции. Следовательно, стоимость образцов товаров, передаваемых покупателям бесплатно, относимая на издержки производства и обращения, фактически возмещается продавцу покупателями в составе продажной цены на реализуемую продукцию (товары). </w:t>
      </w:r>
    </w:p>
    <w:p w:rsidR="009C7D88" w:rsidRPr="00B369EA" w:rsidRDefault="009C7D88" w:rsidP="009C7D88">
      <w:pPr>
        <w:spacing w:before="120"/>
        <w:ind w:firstLine="567"/>
        <w:jc w:val="both"/>
      </w:pPr>
      <w:r w:rsidRPr="00B369EA">
        <w:t xml:space="preserve">Таким образом, бесплатная передача образцов товаров (продукции) покупателям, осуществляемая предприятием в рамках своей рекламной кампании, в контексте гл. 21 НК РФ не может рассматриваться как безвозмездная передача товаров, являющаяся объектом обложения НДС. Поэтому стоимость передаваемых бесплатно покупателям образцов товаров в налоговую базу по НДС у предприятия – продавца этих товаров – не включается. </w:t>
      </w:r>
    </w:p>
    <w:p w:rsidR="009C7D88" w:rsidRPr="00B369EA" w:rsidRDefault="009C7D88" w:rsidP="009C7D88">
      <w:pPr>
        <w:spacing w:before="120"/>
        <w:ind w:firstLine="567"/>
        <w:jc w:val="both"/>
      </w:pPr>
      <w:r w:rsidRPr="00B369EA">
        <w:t xml:space="preserve">В то же время обращаем ваше внимание на то, что грань между понятиями «безвозмездная передача» и «передача товаров в рекламных целях» довольно тонкая (собственно, именно она и является причиной споров о налогообложении НДС указанной операции). Свести риски к минимуму помогут правильно оформленные первичные документы. </w:t>
      </w:r>
    </w:p>
    <w:p w:rsidR="009C7D88" w:rsidRPr="00B369EA" w:rsidRDefault="009C7D88" w:rsidP="009C7D88">
      <w:pPr>
        <w:spacing w:before="120"/>
        <w:ind w:firstLine="567"/>
        <w:jc w:val="both"/>
      </w:pPr>
      <w:r w:rsidRPr="00B369EA">
        <w:t xml:space="preserve">Естественно, и зложенная точка зрения приведет к спору с налоговыми органами и, скорее всего, судебным разбирательствам. Поэтому, к акой вариант действий выбрать, должна решить сама организация. Следует отметить, что «свежая» судебная практика по данному вопросу пока не сложилась. </w:t>
      </w:r>
    </w:p>
    <w:p w:rsidR="009C7D88" w:rsidRPr="00B369EA" w:rsidRDefault="009C7D88" w:rsidP="009C7D88">
      <w:pPr>
        <w:spacing w:before="120"/>
        <w:ind w:firstLine="567"/>
        <w:jc w:val="both"/>
      </w:pPr>
      <w:r w:rsidRPr="00B369EA">
        <w:t xml:space="preserve">Обратите внимание: если вы считаете, что бесплатная передача рекламной продукции не является объектом обложения НДС и готовы отстаивать свою позицию, то вы не имеете права ставить к вычету всю сумму «входного» НДС по товарам (работам, услугам), использованным при производстве продукции. В этом случае размер вычета будет ограничен нормативом размера расходов на рекламу, признаваемых в целях исчисления налога на прибыль (п. 7 ст. 171 НК РФ). </w:t>
      </w:r>
    </w:p>
    <w:p w:rsidR="009C7D88" w:rsidRPr="00B369EA" w:rsidRDefault="009C7D88" w:rsidP="009C7D88">
      <w:pPr>
        <w:spacing w:before="120"/>
        <w:ind w:firstLine="567"/>
        <w:jc w:val="both"/>
      </w:pPr>
      <w:r w:rsidRPr="00B369EA">
        <w:t xml:space="preserve">Если вы к спору не готовы, то придерживайтесь подхода налоговых органов и Минфина России: начисляйте НДС на стоимость бесплатно раздаваемых в рамках проведения рекламных акций (выставок, презентаций) товаров. В этом случае сумму «входного» НДС можно принять к налоговому вычету в обычном порядке. </w:t>
      </w:r>
    </w:p>
    <w:p w:rsidR="009C7D88" w:rsidRPr="00B369EA" w:rsidRDefault="009C7D88" w:rsidP="009C7D88">
      <w:pPr>
        <w:spacing w:before="120"/>
        <w:ind w:firstLine="567"/>
        <w:jc w:val="both"/>
      </w:pPr>
      <w:r w:rsidRPr="00B369EA">
        <w:t xml:space="preserve">Пример 2. </w:t>
      </w:r>
    </w:p>
    <w:p w:rsidR="009C7D88" w:rsidRPr="00B369EA" w:rsidRDefault="009C7D88" w:rsidP="009C7D88">
      <w:pPr>
        <w:spacing w:before="120"/>
        <w:ind w:firstLine="567"/>
        <w:jc w:val="both"/>
      </w:pPr>
      <w:r w:rsidRPr="00B369EA">
        <w:t xml:space="preserve">В июне 2005 г. ООО «Метеорит» в рамках проводимой рекламной кампании произвело бесплатную дегустацию выпускаемой продукции. Посетителям было роздано 200 ед. готовой продукции. Фактическая себестоимость единицы продукции составила 300 руб., ее рыночная цена – 472 руб., в том числе НДС – 72 руб. </w:t>
      </w:r>
    </w:p>
    <w:p w:rsidR="009C7D88" w:rsidRPr="00B369EA" w:rsidRDefault="009C7D88" w:rsidP="009C7D88">
      <w:pPr>
        <w:spacing w:before="120"/>
        <w:ind w:firstLine="567"/>
        <w:jc w:val="both"/>
      </w:pPr>
      <w:r w:rsidRPr="00B369EA">
        <w:t xml:space="preserve">Выручка от реализации продукции за первое полугодие 2005 г. составила 7 000 000 руб. (без учета НДС). Таким образом, рекламные расходы принимаются в целях налогообложения прибыли в сумме фактически произведенных затрат ((7 000 000 руб. х 1% = 70 000 руб. &gt; 60 000 руб.). </w:t>
      </w:r>
    </w:p>
    <w:p w:rsidR="009C7D88" w:rsidRPr="00B369EA" w:rsidRDefault="009C7D88" w:rsidP="009C7D88">
      <w:pPr>
        <w:spacing w:before="120"/>
        <w:ind w:firstLine="567"/>
        <w:jc w:val="both"/>
      </w:pPr>
      <w:r w:rsidRPr="00B369EA">
        <w:t xml:space="preserve">Принимая точку зрения налоговых органов о том, что в ходе рекламной кампании была осуществлена безвозмездная передача продукции, общество решило начислить на ее стоимость НДС. </w:t>
      </w:r>
    </w:p>
    <w:p w:rsidR="009C7D88" w:rsidRPr="00B369EA" w:rsidRDefault="009C7D88" w:rsidP="009C7D88">
      <w:pPr>
        <w:spacing w:before="120"/>
        <w:ind w:firstLine="567"/>
        <w:jc w:val="both"/>
      </w:pPr>
      <w:r w:rsidRPr="00B369EA">
        <w:t xml:space="preserve">В бухгалтерском учете ООО «Метеорит» были сделаны следующие проводки: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153"/>
        <w:gridCol w:w="1453"/>
        <w:gridCol w:w="1602"/>
        <w:gridCol w:w="1610"/>
      </w:tblGrid>
      <w:tr w:rsidR="009C7D88" w:rsidRPr="00B369EA" w:rsidTr="00A81C14">
        <w:trPr>
          <w:tblCellSpacing w:w="0" w:type="dxa"/>
          <w:jc w:val="center"/>
        </w:trPr>
        <w:tc>
          <w:tcPr>
            <w:tcW w:w="2624" w:type="pct"/>
            <w:tcBorders>
              <w:top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Содержание операции </w:t>
            </w:r>
          </w:p>
        </w:tc>
        <w:tc>
          <w:tcPr>
            <w:tcW w:w="740" w:type="pct"/>
            <w:tcBorders>
              <w:top w:val="outset" w:sz="6" w:space="0" w:color="auto"/>
              <w:left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Дебет </w:t>
            </w:r>
          </w:p>
        </w:tc>
        <w:tc>
          <w:tcPr>
            <w:tcW w:w="816" w:type="pct"/>
            <w:tcBorders>
              <w:top w:val="outset" w:sz="6" w:space="0" w:color="auto"/>
              <w:left w:val="outset" w:sz="6" w:space="0" w:color="auto"/>
              <w:bottom w:val="outset" w:sz="6" w:space="0" w:color="auto"/>
              <w:right w:val="outset" w:sz="6" w:space="0" w:color="auto"/>
            </w:tcBorders>
            <w:vAlign w:val="center"/>
          </w:tcPr>
          <w:p w:rsidR="009C7D88" w:rsidRPr="00B369EA" w:rsidRDefault="009C7D88" w:rsidP="00A81C14">
            <w:pPr>
              <w:jc w:val="both"/>
            </w:pPr>
            <w:r w:rsidRPr="00B369EA">
              <w:t xml:space="preserve">Кредит </w:t>
            </w:r>
          </w:p>
        </w:tc>
        <w:tc>
          <w:tcPr>
            <w:tcW w:w="820" w:type="pct"/>
            <w:tcBorders>
              <w:top w:val="outset" w:sz="6" w:space="0" w:color="auto"/>
              <w:left w:val="outset" w:sz="6" w:space="0" w:color="auto"/>
              <w:bottom w:val="outset" w:sz="6" w:space="0" w:color="auto"/>
            </w:tcBorders>
            <w:vAlign w:val="center"/>
          </w:tcPr>
          <w:p w:rsidR="009C7D88" w:rsidRPr="00B369EA" w:rsidRDefault="009C7D88" w:rsidP="00A81C14">
            <w:pPr>
              <w:jc w:val="both"/>
            </w:pPr>
            <w:r w:rsidRPr="00B369EA">
              <w:t xml:space="preserve">Сумма, руб. </w:t>
            </w:r>
          </w:p>
        </w:tc>
      </w:tr>
      <w:tr w:rsidR="009C7D88" w:rsidRPr="00B369EA" w:rsidTr="00A81C14">
        <w:trPr>
          <w:tblCellSpacing w:w="0" w:type="dxa"/>
          <w:jc w:val="center"/>
        </w:trPr>
        <w:tc>
          <w:tcPr>
            <w:tcW w:w="2624" w:type="pct"/>
            <w:tcBorders>
              <w:top w:val="outset" w:sz="6" w:space="0" w:color="auto"/>
              <w:bottom w:val="outset" w:sz="6" w:space="0" w:color="auto"/>
              <w:right w:val="outset" w:sz="6" w:space="0" w:color="auto"/>
            </w:tcBorders>
          </w:tcPr>
          <w:p w:rsidR="009C7D88" w:rsidRDefault="009C7D88" w:rsidP="00A81C14">
            <w:pPr>
              <w:jc w:val="both"/>
            </w:pPr>
            <w:r w:rsidRPr="00B369EA">
              <w:t>Списана стоимость готовой продукции, переданной в ходе рекламной акции</w:t>
            </w:r>
          </w:p>
          <w:p w:rsidR="009C7D88" w:rsidRPr="00B369EA" w:rsidRDefault="009C7D88" w:rsidP="00A81C14">
            <w:pPr>
              <w:jc w:val="both"/>
            </w:pPr>
            <w:r w:rsidRPr="00B369EA">
              <w:t xml:space="preserve">(300 руб. х 200 ед.) </w:t>
            </w:r>
          </w:p>
        </w:tc>
        <w:tc>
          <w:tcPr>
            <w:tcW w:w="740"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91-2 </w:t>
            </w:r>
          </w:p>
        </w:tc>
        <w:tc>
          <w:tcPr>
            <w:tcW w:w="81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43 </w:t>
            </w:r>
          </w:p>
        </w:tc>
        <w:tc>
          <w:tcPr>
            <w:tcW w:w="820" w:type="pct"/>
            <w:tcBorders>
              <w:top w:val="outset" w:sz="6" w:space="0" w:color="auto"/>
              <w:left w:val="outset" w:sz="6" w:space="0" w:color="auto"/>
              <w:bottom w:val="outset" w:sz="6" w:space="0" w:color="auto"/>
            </w:tcBorders>
          </w:tcPr>
          <w:p w:rsidR="009C7D88" w:rsidRPr="00B369EA" w:rsidRDefault="009C7D88" w:rsidP="00A81C14">
            <w:pPr>
              <w:jc w:val="both"/>
            </w:pPr>
            <w:r w:rsidRPr="00B369EA">
              <w:t xml:space="preserve">60 000 </w:t>
            </w:r>
          </w:p>
        </w:tc>
      </w:tr>
      <w:tr w:rsidR="009C7D88" w:rsidRPr="00B369EA" w:rsidTr="00A81C14">
        <w:trPr>
          <w:tblCellSpacing w:w="0" w:type="dxa"/>
          <w:jc w:val="center"/>
        </w:trPr>
        <w:tc>
          <w:tcPr>
            <w:tcW w:w="2624" w:type="pct"/>
            <w:tcBorders>
              <w:top w:val="outset" w:sz="6" w:space="0" w:color="auto"/>
              <w:bottom w:val="outset" w:sz="6" w:space="0" w:color="auto"/>
              <w:right w:val="outset" w:sz="6" w:space="0" w:color="auto"/>
            </w:tcBorders>
          </w:tcPr>
          <w:p w:rsidR="009C7D88" w:rsidRDefault="009C7D88" w:rsidP="00A81C14">
            <w:pPr>
              <w:jc w:val="both"/>
            </w:pPr>
            <w:r w:rsidRPr="00B369EA">
              <w:t>Начислен НДС по готовой продукции</w:t>
            </w:r>
          </w:p>
          <w:p w:rsidR="009C7D88" w:rsidRPr="00B369EA" w:rsidRDefault="009C7D88" w:rsidP="00A81C14">
            <w:pPr>
              <w:jc w:val="both"/>
            </w:pPr>
            <w:r w:rsidRPr="00B369EA">
              <w:t xml:space="preserve">((400 руб. х 200 ед.) х 18%) </w:t>
            </w:r>
          </w:p>
        </w:tc>
        <w:tc>
          <w:tcPr>
            <w:tcW w:w="740"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91-2 </w:t>
            </w:r>
          </w:p>
        </w:tc>
        <w:tc>
          <w:tcPr>
            <w:tcW w:w="816" w:type="pct"/>
            <w:tcBorders>
              <w:top w:val="outset" w:sz="6" w:space="0" w:color="auto"/>
              <w:left w:val="outset" w:sz="6" w:space="0" w:color="auto"/>
              <w:bottom w:val="outset" w:sz="6" w:space="0" w:color="auto"/>
              <w:right w:val="outset" w:sz="6" w:space="0" w:color="auto"/>
            </w:tcBorders>
          </w:tcPr>
          <w:p w:rsidR="009C7D88" w:rsidRPr="00B369EA" w:rsidRDefault="009C7D88" w:rsidP="00A81C14">
            <w:pPr>
              <w:jc w:val="both"/>
            </w:pPr>
            <w:r w:rsidRPr="00B369EA">
              <w:t xml:space="preserve">68 </w:t>
            </w:r>
          </w:p>
        </w:tc>
        <w:tc>
          <w:tcPr>
            <w:tcW w:w="820" w:type="pct"/>
            <w:tcBorders>
              <w:top w:val="outset" w:sz="6" w:space="0" w:color="auto"/>
              <w:left w:val="outset" w:sz="6" w:space="0" w:color="auto"/>
              <w:bottom w:val="outset" w:sz="6" w:space="0" w:color="auto"/>
            </w:tcBorders>
          </w:tcPr>
          <w:p w:rsidR="009C7D88" w:rsidRPr="00B369EA" w:rsidRDefault="009C7D88" w:rsidP="00A81C14">
            <w:pPr>
              <w:jc w:val="both"/>
            </w:pPr>
            <w:r w:rsidRPr="00B369EA">
              <w:t xml:space="preserve">14 400 </w:t>
            </w:r>
          </w:p>
        </w:tc>
      </w:tr>
    </w:tbl>
    <w:p w:rsidR="009C7D88" w:rsidRDefault="009C7D88" w:rsidP="009C7D88">
      <w:pPr>
        <w:spacing w:before="120"/>
        <w:ind w:firstLine="567"/>
        <w:jc w:val="both"/>
      </w:pPr>
      <w:r w:rsidRPr="00B369EA">
        <w:t xml:space="preserve">Суммы НДС, уплаченные ООО «Метеорит» при приобретении товаров (материалов, работ, услуг), используемых для изготовления продукции, безвозмездно передаваемой для дегустации в рекламных целях, могут быть предъявлены к вычету в общеустановленном порядке. </w:t>
      </w:r>
      <w:r>
        <w:t xml:space="preserve"> </w:t>
      </w:r>
    </w:p>
    <w:p w:rsidR="009C7D88" w:rsidRPr="00462361" w:rsidRDefault="009C7D88" w:rsidP="009C7D88">
      <w:pPr>
        <w:spacing w:before="120"/>
        <w:jc w:val="center"/>
        <w:rPr>
          <w:b/>
          <w:bCs/>
          <w:sz w:val="28"/>
          <w:szCs w:val="28"/>
        </w:rPr>
      </w:pPr>
      <w:r w:rsidRPr="00462361">
        <w:rPr>
          <w:b/>
          <w:bCs/>
          <w:sz w:val="28"/>
          <w:szCs w:val="28"/>
        </w:rPr>
        <w:t xml:space="preserve">Налог на доходы физических лиц </w:t>
      </w:r>
    </w:p>
    <w:p w:rsidR="009C7D88" w:rsidRPr="00B369EA" w:rsidRDefault="009C7D88" w:rsidP="009C7D88">
      <w:pPr>
        <w:spacing w:before="120"/>
        <w:ind w:firstLine="567"/>
        <w:jc w:val="both"/>
      </w:pPr>
      <w:r w:rsidRPr="00B369EA">
        <w:t>В соответствии со ст.</w:t>
      </w:r>
      <w:r>
        <w:t xml:space="preserve"> </w:t>
      </w:r>
      <w:r w:rsidRPr="00B369EA">
        <w:t>211НК РФ получение приза физическим лицом – плательщиком НДФЛ рассматривается как получение налогооблагаемого дохода в натуральной форме. Размер дохода определяется как стоимость полученного физическим лицом имущества, исчисленная исходя из его цены, определяемой в порядке, аналогичном предусмотренному ст.</w:t>
      </w:r>
      <w:r>
        <w:t xml:space="preserve"> </w:t>
      </w:r>
      <w:r w:rsidRPr="00B369EA">
        <w:t>40 НК РФ, с учетом суммы НДС (п.</w:t>
      </w:r>
      <w:r>
        <w:t xml:space="preserve"> </w:t>
      </w:r>
      <w:r w:rsidRPr="00B369EA">
        <w:t>1 ст.</w:t>
      </w:r>
      <w:r>
        <w:t xml:space="preserve"> </w:t>
      </w:r>
      <w:r w:rsidRPr="00B369EA">
        <w:t xml:space="preserve">211 НК РФ). </w:t>
      </w:r>
    </w:p>
    <w:p w:rsidR="009C7D88" w:rsidRPr="00B369EA" w:rsidRDefault="009C7D88" w:rsidP="009C7D88">
      <w:pPr>
        <w:spacing w:before="120"/>
        <w:ind w:firstLine="567"/>
        <w:jc w:val="both"/>
      </w:pPr>
      <w:r w:rsidRPr="00B369EA">
        <w:t>Стоимость любых призов в денежной и натуральной формах, выдаваемых при проведении конкурсов, игр и других мероприятий в целях рекламы товаров (работ, услуг), не признается объектом обложения НДФЛ в пределах до 2</w:t>
      </w:r>
      <w:r>
        <w:t xml:space="preserve"> </w:t>
      </w:r>
      <w:r w:rsidRPr="00B369EA">
        <w:t>000 руб. по каждому из физических лиц (п.</w:t>
      </w:r>
      <w:r>
        <w:t xml:space="preserve"> </w:t>
      </w:r>
      <w:r w:rsidRPr="00B369EA">
        <w:t>28 ст.</w:t>
      </w:r>
      <w:r>
        <w:t xml:space="preserve"> </w:t>
      </w:r>
      <w:r w:rsidRPr="00B369EA">
        <w:t>217 НК РФ). При этом предел в 2</w:t>
      </w:r>
      <w:r>
        <w:t xml:space="preserve"> </w:t>
      </w:r>
      <w:r w:rsidRPr="00B369EA">
        <w:t xml:space="preserve">000 руб. принимается за налоговый период, равный одному календарному году. </w:t>
      </w:r>
    </w:p>
    <w:p w:rsidR="009C7D88" w:rsidRPr="00B369EA" w:rsidRDefault="009C7D88" w:rsidP="009C7D88">
      <w:pPr>
        <w:spacing w:before="120"/>
        <w:ind w:firstLine="567"/>
        <w:jc w:val="both"/>
      </w:pPr>
      <w:r w:rsidRPr="00B369EA">
        <w:t>Обратите внимание: Федеральным законом от 30.06.05 № 71-ФЗ внесены изменения в п.</w:t>
      </w:r>
      <w:r>
        <w:t xml:space="preserve"> </w:t>
      </w:r>
      <w:r w:rsidRPr="00B369EA">
        <w:t>28 ст.</w:t>
      </w:r>
      <w:r>
        <w:t xml:space="preserve"> </w:t>
      </w:r>
      <w:r w:rsidRPr="00B369EA">
        <w:t xml:space="preserve">217 НК РФ, согласно которым с 2 000 до 4 000 руб. увеличен необлагаемый порог доходов физических лиц, полученных в виде подарков, призов. Данные изменения вступят в силу с 1 января 2006 года. </w:t>
      </w:r>
    </w:p>
    <w:p w:rsidR="009C7D88" w:rsidRPr="00B369EA" w:rsidRDefault="009C7D88" w:rsidP="009C7D88">
      <w:pPr>
        <w:spacing w:before="120"/>
        <w:ind w:firstLine="567"/>
        <w:jc w:val="both"/>
      </w:pPr>
      <w:r w:rsidRPr="00B369EA">
        <w:t>Поэтому лучше избегать случаев, когда стоимость подарка физическому лицу превышает 2</w:t>
      </w:r>
      <w:r>
        <w:t xml:space="preserve"> </w:t>
      </w:r>
      <w:r w:rsidRPr="00B369EA">
        <w:t xml:space="preserve">000 руб. Однако в некоторых ситуациях стоимость передаваемого бесплатно товара может быть существенна. В последнее время многие компании разыгрывают дорогостоящую бытовую технику, иногда в списке призов анонсируются автомобили. </w:t>
      </w:r>
    </w:p>
    <w:p w:rsidR="009C7D88" w:rsidRPr="00B369EA" w:rsidRDefault="009C7D88" w:rsidP="009C7D88">
      <w:pPr>
        <w:spacing w:before="120"/>
        <w:ind w:firstLine="567"/>
        <w:jc w:val="both"/>
      </w:pPr>
      <w:r w:rsidRPr="00B369EA">
        <w:t>Стоимость призов, превышающая 2 000 руб., в соответствии с п.</w:t>
      </w:r>
      <w:r>
        <w:t xml:space="preserve"> </w:t>
      </w:r>
      <w:r w:rsidRPr="00B369EA">
        <w:t>2 ст.</w:t>
      </w:r>
      <w:r>
        <w:t xml:space="preserve"> </w:t>
      </w:r>
      <w:r w:rsidRPr="00B369EA">
        <w:t>224НКРФ подлежит обложению по ставке 35%. В рассматриваемой ситуации организация признается налоговым агентом и должна исчислить, а также удержать и перечислить налог. Но сделать это можно, если фирма выдает денежные призы. Во всех остальных случаях она не сможет удержать налог. Ведь уплачивать налог за счет средств налоговых агентов запрещено (п.</w:t>
      </w:r>
      <w:r>
        <w:t xml:space="preserve"> </w:t>
      </w:r>
      <w:r w:rsidRPr="00B369EA">
        <w:t>9 ст.</w:t>
      </w:r>
      <w:r>
        <w:t xml:space="preserve"> </w:t>
      </w:r>
      <w:r w:rsidRPr="00B369EA">
        <w:t xml:space="preserve">226 НК РФ). </w:t>
      </w:r>
    </w:p>
    <w:p w:rsidR="009C7D88" w:rsidRPr="00B369EA" w:rsidRDefault="009C7D88" w:rsidP="009C7D88">
      <w:pPr>
        <w:spacing w:before="120"/>
        <w:ind w:firstLine="567"/>
        <w:jc w:val="both"/>
      </w:pPr>
      <w:r w:rsidRPr="00B369EA">
        <w:t>В то же время, если невозможно удержать исчисленную сумму налога, фирма обязана в течение одного месяца сообщить об этом в налоговую инспекцию по месту учета. Это установлено в п.</w:t>
      </w:r>
      <w:r>
        <w:t xml:space="preserve"> </w:t>
      </w:r>
      <w:r w:rsidRPr="00B369EA">
        <w:t>5 ст.</w:t>
      </w:r>
      <w:r>
        <w:t xml:space="preserve"> </w:t>
      </w:r>
      <w:r w:rsidRPr="00B369EA">
        <w:t>226 НК РФ. Также по окончании года фирма должна представить в инспекцию формы 2-НДФЛ по физическим лицам, которые получили подарки стоимостью более 2</w:t>
      </w:r>
      <w:r>
        <w:t xml:space="preserve"> </w:t>
      </w:r>
      <w:r w:rsidRPr="00B369EA">
        <w:t xml:space="preserve">000 руб. Помимо этого на каждого обладателя такого подарка необходимо завести налоговую карточку по форме 1-НДФЛ. </w:t>
      </w:r>
    </w:p>
    <w:p w:rsidR="009C7D88" w:rsidRPr="00B369EA" w:rsidRDefault="009C7D88" w:rsidP="009C7D88">
      <w:pPr>
        <w:spacing w:before="120"/>
        <w:ind w:firstLine="567"/>
        <w:jc w:val="both"/>
      </w:pPr>
      <w:r w:rsidRPr="00B369EA">
        <w:t xml:space="preserve">Таким образом, при вручении приза или подарка обязательно нужно знать паспортные данные получателя. Одновременно имеет смысл предупредить его об обязанности уплатить налог с полученного дохода. Если размер налога окажется для обладателя приза слишком большим, целесообразно предложить ему получить эквивалентную сумму, удержав из нее НДФЛ. </w:t>
      </w:r>
    </w:p>
    <w:p w:rsidR="009C7D88" w:rsidRPr="00B369EA" w:rsidRDefault="009C7D88" w:rsidP="009C7D88">
      <w:pPr>
        <w:spacing w:before="120"/>
        <w:ind w:firstLine="567"/>
        <w:jc w:val="both"/>
      </w:pPr>
      <w:r w:rsidRPr="00B369EA">
        <w:t>Организации, которые производят массовые рекламные кампании, включающие в себя бесплатную раздачу призов и товаров потенциальным покупателям рекламной продукции – физическим лицам, вправе не представлять по ним сведения о доходах в налоговые органы, если стоимость выдаваемых товаров не превышает 2</w:t>
      </w:r>
      <w:r>
        <w:t xml:space="preserve"> </w:t>
      </w:r>
      <w:r w:rsidRPr="00B369EA">
        <w:t>000 руб.</w:t>
      </w:r>
    </w:p>
    <w:p w:rsidR="009C7D88" w:rsidRPr="00462361" w:rsidRDefault="009C7D88" w:rsidP="009C7D88">
      <w:pPr>
        <w:spacing w:before="120"/>
        <w:jc w:val="center"/>
        <w:rPr>
          <w:b/>
          <w:bCs/>
          <w:sz w:val="28"/>
          <w:szCs w:val="28"/>
        </w:rPr>
      </w:pPr>
      <w:r w:rsidRPr="00462361">
        <w:rPr>
          <w:b/>
          <w:bCs/>
          <w:sz w:val="28"/>
          <w:szCs w:val="28"/>
        </w:rPr>
        <w:t xml:space="preserve">Единый социальный налог </w:t>
      </w:r>
    </w:p>
    <w:p w:rsidR="009C7D88" w:rsidRPr="00B369EA" w:rsidRDefault="009C7D88" w:rsidP="009C7D88">
      <w:pPr>
        <w:spacing w:before="120"/>
        <w:ind w:firstLine="567"/>
        <w:jc w:val="both"/>
      </w:pPr>
      <w:r w:rsidRPr="00B369EA">
        <w:t>В соответствии с п.</w:t>
      </w:r>
      <w:r>
        <w:t xml:space="preserve"> </w:t>
      </w:r>
      <w:r w:rsidRPr="00B369EA">
        <w:t>1 ст.</w:t>
      </w:r>
      <w:r>
        <w:t xml:space="preserve"> </w:t>
      </w:r>
      <w:r w:rsidRPr="00B369EA">
        <w:t>236 НК РФ объектом обложения ЕСН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а также по авторским договорам. Следовательно, организация не является плательщиком ЕСН в отношении тех сумм, которые не предполагают со стороны их получателей выполнение каких-либо работ или услуг для этой организации и не связаны с организацией договорными отношениями, в связи с чем стоимость подарков, сувениров, призов, выдаваемых участникам в ходе рекламных мероприятий и победителям конкурсов, не выполняющим работы для организации, не включается в объект налогообложения для целей исчисления ЕСН на основании положений ст.</w:t>
      </w:r>
      <w:r>
        <w:t xml:space="preserve"> </w:t>
      </w:r>
      <w:r w:rsidRPr="00B369EA">
        <w:t xml:space="preserve">236 НК РФ. </w:t>
      </w:r>
    </w:p>
    <w:p w:rsidR="009C7D88" w:rsidRPr="00B369EA" w:rsidRDefault="009C7D88" w:rsidP="009C7D88">
      <w:pPr>
        <w:spacing w:before="120"/>
        <w:ind w:firstLine="567"/>
        <w:jc w:val="both"/>
      </w:pPr>
      <w:r w:rsidRPr="00B369EA">
        <w:t xml:space="preserve"> [1] Федеральный закон от 18.07.95 № 108-ФЗ «О рекламе».</w:t>
      </w:r>
    </w:p>
    <w:p w:rsidR="009C7D88" w:rsidRPr="00B369EA" w:rsidRDefault="009C7D88" w:rsidP="009C7D88">
      <w:pPr>
        <w:spacing w:before="120"/>
        <w:ind w:firstLine="567"/>
        <w:jc w:val="both"/>
      </w:pPr>
      <w:r w:rsidRPr="00B369EA">
        <w:t>[2] См. статью Д. В. Дурново «Торговые скидки: учет и налогообложение», «АВБН» № 9, 2005, стр. 24.</w:t>
      </w:r>
    </w:p>
    <w:p w:rsidR="009C7D88" w:rsidRPr="00B369EA" w:rsidRDefault="009C7D88" w:rsidP="009C7D88">
      <w:pPr>
        <w:spacing w:before="120"/>
        <w:ind w:firstLine="567"/>
        <w:jc w:val="both"/>
      </w:pPr>
      <w:r w:rsidRPr="00B369EA">
        <w:t>[3] Положение по бухгалтерскому учету «Учет расчетов по налогу на прибыль» ПБУ 18/02, утв. Приказом МФ РФ от 19.11.02 № 114н.</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D88"/>
    <w:rsid w:val="003A28D6"/>
    <w:rsid w:val="00462361"/>
    <w:rsid w:val="004D794A"/>
    <w:rsid w:val="00616072"/>
    <w:rsid w:val="008B35EE"/>
    <w:rsid w:val="009C7D88"/>
    <w:rsid w:val="00A81C14"/>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94728F-7612-404F-9A7C-06673825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C7D8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17453</Words>
  <Characters>9949</Characters>
  <Application>Microsoft Office Word</Application>
  <DocSecurity>0</DocSecurity>
  <Lines>82</Lines>
  <Paragraphs>54</Paragraphs>
  <ScaleCrop>false</ScaleCrop>
  <Company>Home</Company>
  <LinksUpToDate>false</LinksUpToDate>
  <CharactersWithSpaces>27348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налогообложения рекламной акции</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