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5B5" w:rsidRDefault="00C14656">
      <w:pPr>
        <w:pStyle w:val="1"/>
        <w:jc w:val="center"/>
      </w:pPr>
      <w:r>
        <w:t>Состав хиломикронов и липопротеинов очень низкой плотности в vena subclavia и arteria femoralis</w:t>
      </w:r>
    </w:p>
    <w:p w:rsidR="000435B5" w:rsidRPr="00C14656" w:rsidRDefault="00C14656">
      <w:pPr>
        <w:pStyle w:val="a3"/>
      </w:pPr>
      <w:r>
        <w:t> </w:t>
      </w:r>
    </w:p>
    <w:p w:rsidR="000435B5" w:rsidRDefault="00C14656">
      <w:pPr>
        <w:pStyle w:val="a3"/>
      </w:pPr>
      <w:r>
        <w:t>Осочук Сергей Стефанович</w:t>
      </w:r>
    </w:p>
    <w:p w:rsidR="000435B5" w:rsidRDefault="00C14656">
      <w:pPr>
        <w:pStyle w:val="a3"/>
      </w:pPr>
      <w:r>
        <w:t>Выявлен вклад легких в изменение состава хило- микронов и липопротеинов очень низкой плотности. Методом ультрацентрифугирования выделены хи- ломикроны и липопротеины очень низкой плотности из крови подключичной вены и бедренной артерии, взятой до и после еды у пациентов, готовившихся к операции аортокоронарного шунтирования. В выделенных липопротеиновых комплексах определены содержание белка, холестерола, триглицеридов, общих фосфолипидов и фосфолипидных классов. Выявлено, что легкие являются активным участником метаболизма липопротеинов очень низкой плотности натощак и после еды. Натощак легкие элиминируют из липопротеинов очень низкой плотности — фосфатидилхолины, а после еды — фосфа- тидилэтаноламины</w:t>
      </w:r>
    </w:p>
    <w:p w:rsidR="000435B5" w:rsidRDefault="00C14656">
      <w:pPr>
        <w:pStyle w:val="a3"/>
      </w:pPr>
      <w:r>
        <w:t>B отличие от белков и углеводов, поступающих после переваривания в печень, транспорт липидов из кишечника осуществляется в составе хиломикронов через лимфатическую систему в легкие и только после этого в печень [3]. Отличия объясняются величиной хиломикронов [1], которые не способны проникать в кровоток непосредственно из кишечника.</w:t>
      </w:r>
    </w:p>
    <w:p w:rsidR="000435B5" w:rsidRDefault="00C14656">
      <w:pPr>
        <w:pStyle w:val="a3"/>
      </w:pPr>
      <w:r>
        <w:t>Вместе с тем, из терапевтической практики и экспериментальных исследований [10, 9] известно, что при заболеваниях легких хороший эффект дает повышенное потребление животных жиров. В экспериментах показано, что увеличение потребления жиров не повышает количество хиломикронов, но увеличивает их размер [6]. Эти факты позволяют предположить, что величина хиломикронов является следствием необходимости поставки липидов легким, а сами легкие являются важным участником обмена липидов в организме. Ответ на вопрос избирательного поступления липидов в организм через легкие позволит осуществить разработку новых методов диетотерапии и парантерального питания, улучшающих метаболизм легких в норме и при патологических состояниях. В связи с изложенным, целью исследования было выявление отличий состава липопротеинов очень низкой плотности и хиломикронов, взятых из v.subclavia (перед легкими) и a. femoralis ( после легких) натощак и после приема пищи.</w:t>
      </w:r>
    </w:p>
    <w:p w:rsidR="000435B5" w:rsidRDefault="00C14656">
      <w:pPr>
        <w:pStyle w:val="a3"/>
      </w:pPr>
      <w:r>
        <w:t>Материалы и методы</w:t>
      </w:r>
    </w:p>
    <w:p w:rsidR="000435B5" w:rsidRDefault="00C14656">
      <w:pPr>
        <w:pStyle w:val="a3"/>
      </w:pPr>
      <w:r>
        <w:t>Для достижения поставленной цели были обследованы 12 пациентов обоего пола в возрасте 55-65 лет, находившиеся на лечении в кардиохирургическом отделении Витебской областной клинической больницы. Выбор пациентов обусловлен особенностями технологической подготовки больных к операции на сердце и сосудах, предполагающих катетеризацию v.subclavia (v.s) и a. femoralis (a.f.). Кровь забирали в вакутайнеры с цитратом натрия в утренние часы натощак и через 3 часа после обеда. Кровь освобождали от форменных элементов центрифугированием в рефрижераторной центрифуге РС6 при 3000 об/мин. Плазму замораживали до обработки при температуре — 60 °С в морозильной камере Forma (США). Липопротеины очень низкой плотности (ЛПОНП) в смеси с хиломикронами (ХМ) выделяли методом ультрацентрифугирования на ультрацентрифуге «Optima LE 80K» Beckman (США) с использованием ротора 50.4Ti [7]. В выделенных ЛПОНП и ХМ определяли содержание белка по методу Лоури, холестерина (ХС) и триацилглицеридов (ТГ) фотометрически на полуавтоматическом биохимическом анализаторе ScreenMaster с использованием наборов фирмы Cormay Diana. Экстракцию фосфолипидов проводили смесью хлороформ/метанол (2:1 по объему) с последующим разделением методом двумерной тонкослойной хроматографии [4].</w:t>
      </w:r>
    </w:p>
    <w:p w:rsidR="000435B5" w:rsidRDefault="00C14656">
      <w:pPr>
        <w:pStyle w:val="a3"/>
      </w:pPr>
      <w:r>
        <w:t>Идентификацию индивидуальных классов фосфолипидов проводили по Rf стандартных образцов ( Sigma). Количество общих фосфолипидов определяли в реакции с молибденовокислым аммонием в присутствии аскорбиновой кислоты [2].</w:t>
      </w:r>
    </w:p>
    <w:p w:rsidR="000435B5" w:rsidRDefault="00C14656">
      <w:pPr>
        <w:pStyle w:val="a3"/>
      </w:pPr>
      <w:r>
        <w:t>Статистический анализ проводился после изучения характера распределения данных об изученных признаках. По критерию Колмогорова-Смирнова полученные данные были близки к нормальному распределению (d &lt; 1,0 при р &gt;&gt; 0,05). Это позволило применить процедуру многофакторного анализа (MANOVA) с последующим апостериорным сравнением средних и дисперсий. Построение плана дисперсионного анализа:</w:t>
      </w:r>
    </w:p>
    <w:p w:rsidR="000435B5" w:rsidRDefault="00C14656">
      <w:pPr>
        <w:pStyle w:val="a3"/>
      </w:pPr>
      <w:r>
        <w:t>равные объемы выборок;</w:t>
      </w:r>
    </w:p>
    <w:p w:rsidR="000435B5" w:rsidRDefault="00C14656">
      <w:pPr>
        <w:pStyle w:val="a3"/>
      </w:pPr>
      <w:r>
        <w:t>зависимые переменные — изучаемые биохимические показатели;</w:t>
      </w:r>
    </w:p>
    <w:p w:rsidR="000435B5" w:rsidRDefault="00C14656">
      <w:pPr>
        <w:pStyle w:val="a3"/>
      </w:pPr>
      <w:r>
        <w:t>независимые факторы:</w:t>
      </w:r>
    </w:p>
    <w:p w:rsidR="000435B5" w:rsidRDefault="00C14656">
      <w:pPr>
        <w:pStyle w:val="a3"/>
      </w:pPr>
      <w:r>
        <w:t>место забора (на двух уровнях) v. subclavia и a. femoralis;</w:t>
      </w:r>
    </w:p>
    <w:p w:rsidR="000435B5" w:rsidRDefault="00C14656">
      <w:pPr>
        <w:pStyle w:val="a3"/>
      </w:pPr>
      <w:r>
        <w:t>условия забора (на двух уровнях) «натощак» и «после еды»;</w:t>
      </w:r>
    </w:p>
    <w:p w:rsidR="000435B5" w:rsidRDefault="00C14656">
      <w:pPr>
        <w:pStyle w:val="a3"/>
      </w:pPr>
      <w:r>
        <w:t>апостериорные сравнения с помощью точного критерия Фишера наименьших значимых разностей при межгруппо- вой ошибке</w:t>
      </w:r>
    </w:p>
    <w:p w:rsidR="000435B5" w:rsidRDefault="00C14656">
      <w:pPr>
        <w:pStyle w:val="a3"/>
      </w:pPr>
      <w:r>
        <w:t>Результаты и обсуждение</w:t>
      </w:r>
    </w:p>
    <w:p w:rsidR="000435B5" w:rsidRDefault="00C14656">
      <w:pPr>
        <w:pStyle w:val="a3"/>
      </w:pPr>
      <w:r>
        <w:t>После приема пищи (см. таблицу), количество ТГ было закономерно выше в v.s. (p = 0,04) а общих фосфолипидов «парадоксально» снижено (p &lt; 0,0001). Однако, учитывая, что натощак фракция хиломик- ронов в крови имеет незначительное представительство [5], можно предположить, что фосфолипиды в исследуемых фракциях имеют в большей степени печеночное происхождение. Вероятно, после еды активность включения фосфолипидов в ЛПОНП снижается, что и явилось причиной уменьшения их количества в суммарной фракции исследуемых липопротеиновых комплексов. Возможно, эффект обусловлен и особенностями пищевого режима пациентов. Для подтверждения предположения необходимо исследовать отдельно фракции ХМ и ЛПОНП с учетом предоперационного рациона питания пациентов.</w:t>
      </w:r>
    </w:p>
    <w:p w:rsidR="000435B5" w:rsidRDefault="00C14656">
      <w:pPr>
        <w:pStyle w:val="a3"/>
      </w:pPr>
      <w:r>
        <w:t>Содержание фосфолипидных классов в ЛПОНП v.s. и a.f. натощак и после еды</w:t>
      </w:r>
    </w:p>
    <w:p w:rsidR="000435B5" w:rsidRDefault="00C14656">
      <w:pPr>
        <w:pStyle w:val="a3"/>
      </w:pPr>
      <w: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480"/>
        <w:gridCol w:w="480"/>
        <w:gridCol w:w="480"/>
      </w:tblGrid>
      <w:tr w:rsidR="000435B5">
        <w:trPr>
          <w:trHeight w:val="300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435B5" w:rsidRDefault="00C14656">
            <w:r>
              <w:t>Фосфолипидные классы</w:t>
            </w:r>
          </w:p>
        </w:tc>
        <w:tc>
          <w:tcPr>
            <w:tcW w:w="0" w:type="auto"/>
            <w:vAlign w:val="center"/>
            <w:hideMark/>
          </w:tcPr>
          <w:p w:rsidR="000435B5" w:rsidRDefault="00C14656">
            <w:r>
              <w:t>v.s. натощак</w:t>
            </w:r>
          </w:p>
        </w:tc>
        <w:tc>
          <w:tcPr>
            <w:tcW w:w="0" w:type="auto"/>
            <w:vAlign w:val="center"/>
            <w:hideMark/>
          </w:tcPr>
          <w:p w:rsidR="000435B5" w:rsidRDefault="00C14656">
            <w:r>
              <w:t>a.f. натощак</w:t>
            </w:r>
          </w:p>
        </w:tc>
        <w:tc>
          <w:tcPr>
            <w:tcW w:w="0" w:type="auto"/>
            <w:vAlign w:val="center"/>
            <w:hideMark/>
          </w:tcPr>
          <w:p w:rsidR="000435B5" w:rsidRDefault="00C14656">
            <w:r>
              <w:t>v.s. после еды</w:t>
            </w:r>
          </w:p>
        </w:tc>
        <w:tc>
          <w:tcPr>
            <w:tcW w:w="0" w:type="auto"/>
            <w:vAlign w:val="center"/>
            <w:hideMark/>
          </w:tcPr>
          <w:p w:rsidR="000435B5" w:rsidRDefault="00C14656">
            <w:r>
              <w:t>a.f. после еды</w:t>
            </w:r>
          </w:p>
        </w:tc>
      </w:tr>
      <w:tr w:rsidR="000435B5">
        <w:trPr>
          <w:trHeight w:val="55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435B5" w:rsidRDefault="00C14656">
            <w:r>
              <w:t>Триглицериды, мМоль/л</w:t>
            </w:r>
          </w:p>
        </w:tc>
        <w:tc>
          <w:tcPr>
            <w:tcW w:w="0" w:type="auto"/>
            <w:vAlign w:val="center"/>
            <w:hideMark/>
          </w:tcPr>
          <w:p w:rsidR="000435B5" w:rsidRDefault="00C14656">
            <w:r>
              <w:t>0,18±0,08</w:t>
            </w:r>
          </w:p>
        </w:tc>
        <w:tc>
          <w:tcPr>
            <w:tcW w:w="0" w:type="auto"/>
            <w:vAlign w:val="center"/>
            <w:hideMark/>
          </w:tcPr>
          <w:p w:rsidR="000435B5" w:rsidRDefault="00C14656">
            <w:r>
              <w:t>0,29±0,19</w:t>
            </w:r>
          </w:p>
        </w:tc>
        <w:tc>
          <w:tcPr>
            <w:tcW w:w="0" w:type="auto"/>
            <w:vAlign w:val="center"/>
            <w:hideMark/>
          </w:tcPr>
          <w:p w:rsidR="000435B5" w:rsidRDefault="00C14656">
            <w:r>
              <w:t>0,3±0,11 Pн 0,04</w:t>
            </w:r>
          </w:p>
        </w:tc>
        <w:tc>
          <w:tcPr>
            <w:tcW w:w="0" w:type="auto"/>
            <w:vAlign w:val="center"/>
            <w:hideMark/>
          </w:tcPr>
          <w:p w:rsidR="000435B5" w:rsidRDefault="00C14656">
            <w:r>
              <w:t>0,35±0,14</w:t>
            </w:r>
          </w:p>
        </w:tc>
      </w:tr>
      <w:tr w:rsidR="000435B5">
        <w:trPr>
          <w:trHeight w:val="55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435B5" w:rsidRDefault="00C14656">
            <w:r>
              <w:t>Общие фосфолипиды, мкМоль/л</w:t>
            </w:r>
          </w:p>
        </w:tc>
        <w:tc>
          <w:tcPr>
            <w:tcW w:w="0" w:type="auto"/>
            <w:vAlign w:val="center"/>
            <w:hideMark/>
          </w:tcPr>
          <w:p w:rsidR="000435B5" w:rsidRDefault="00C14656">
            <w:r>
              <w:t>32,22±11,2</w:t>
            </w:r>
          </w:p>
        </w:tc>
        <w:tc>
          <w:tcPr>
            <w:tcW w:w="0" w:type="auto"/>
            <w:vAlign w:val="center"/>
            <w:hideMark/>
          </w:tcPr>
          <w:p w:rsidR="000435B5" w:rsidRDefault="00C14656">
            <w:r>
              <w:t>34,36±14,2</w:t>
            </w:r>
          </w:p>
        </w:tc>
        <w:tc>
          <w:tcPr>
            <w:tcW w:w="0" w:type="auto"/>
            <w:vAlign w:val="center"/>
            <w:hideMark/>
          </w:tcPr>
          <w:p w:rsidR="000435B5" w:rsidRDefault="00C14656">
            <w:r>
              <w:t>1,2±0,7 Pн &lt;0,0001</w:t>
            </w:r>
          </w:p>
        </w:tc>
        <w:tc>
          <w:tcPr>
            <w:tcW w:w="0" w:type="auto"/>
            <w:vAlign w:val="center"/>
            <w:hideMark/>
          </w:tcPr>
          <w:p w:rsidR="000435B5" w:rsidRDefault="00C14656">
            <w:r>
              <w:t>2,7±1,44 Pн &lt;0,0001</w:t>
            </w:r>
          </w:p>
        </w:tc>
      </w:tr>
      <w:tr w:rsidR="000435B5">
        <w:trPr>
          <w:trHeight w:val="585"/>
          <w:tblCellSpacing w:w="0" w:type="dxa"/>
        </w:trPr>
        <w:tc>
          <w:tcPr>
            <w:tcW w:w="0" w:type="auto"/>
            <w:vAlign w:val="center"/>
            <w:hideMark/>
          </w:tcPr>
          <w:p w:rsidR="000435B5" w:rsidRDefault="00C14656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0435B5" w:rsidRDefault="00C14656">
            <w:r>
              <w:t>Лизофосфатиды</w:t>
            </w:r>
          </w:p>
        </w:tc>
        <w:tc>
          <w:tcPr>
            <w:tcW w:w="0" w:type="auto"/>
            <w:vAlign w:val="center"/>
            <w:hideMark/>
          </w:tcPr>
          <w:p w:rsidR="000435B5" w:rsidRPr="00C14656" w:rsidRDefault="00C14656">
            <w:pPr>
              <w:pStyle w:val="a3"/>
            </w:pPr>
            <w:r w:rsidRPr="00C14656">
              <w:t>5,58±9,16</w:t>
            </w:r>
          </w:p>
          <w:p w:rsidR="000435B5" w:rsidRPr="00C14656" w:rsidRDefault="00C14656">
            <w:pPr>
              <w:pStyle w:val="a3"/>
            </w:pPr>
            <w:r w:rsidRPr="00C14656">
              <w:t>Pa=0,04</w:t>
            </w:r>
          </w:p>
        </w:tc>
        <w:tc>
          <w:tcPr>
            <w:tcW w:w="0" w:type="auto"/>
            <w:vAlign w:val="center"/>
            <w:hideMark/>
          </w:tcPr>
          <w:p w:rsidR="000435B5" w:rsidRDefault="00C14656">
            <w:r>
              <w:t>3,05±6,52</w:t>
            </w:r>
          </w:p>
        </w:tc>
        <w:tc>
          <w:tcPr>
            <w:tcW w:w="0" w:type="auto"/>
            <w:vAlign w:val="center"/>
            <w:hideMark/>
          </w:tcPr>
          <w:p w:rsidR="000435B5" w:rsidRDefault="00C14656">
            <w:r>
              <w:t>19,0±5,89</w:t>
            </w:r>
          </w:p>
        </w:tc>
        <w:tc>
          <w:tcPr>
            <w:tcW w:w="0" w:type="auto"/>
            <w:vAlign w:val="center"/>
            <w:hideMark/>
          </w:tcPr>
          <w:p w:rsidR="000435B5" w:rsidRPr="00C14656" w:rsidRDefault="00C14656">
            <w:pPr>
              <w:pStyle w:val="a3"/>
            </w:pPr>
            <w:r w:rsidRPr="00C14656">
              <w:t>21,45±6,9</w:t>
            </w:r>
          </w:p>
          <w:p w:rsidR="000435B5" w:rsidRPr="00C14656" w:rsidRDefault="00C14656">
            <w:pPr>
              <w:pStyle w:val="a3"/>
            </w:pPr>
            <w:r w:rsidRPr="00C14656">
              <w:t>Pн=0,01</w:t>
            </w:r>
          </w:p>
        </w:tc>
      </w:tr>
      <w:tr w:rsidR="000435B5">
        <w:trPr>
          <w:trHeight w:val="540"/>
          <w:tblCellSpacing w:w="0" w:type="dxa"/>
        </w:trPr>
        <w:tc>
          <w:tcPr>
            <w:tcW w:w="0" w:type="auto"/>
            <w:vAlign w:val="center"/>
            <w:hideMark/>
          </w:tcPr>
          <w:p w:rsidR="000435B5" w:rsidRDefault="00C14656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0435B5" w:rsidRDefault="00C14656">
            <w:r>
              <w:t>Сфингомиелины</w:t>
            </w:r>
          </w:p>
        </w:tc>
        <w:tc>
          <w:tcPr>
            <w:tcW w:w="0" w:type="auto"/>
            <w:vAlign w:val="center"/>
            <w:hideMark/>
          </w:tcPr>
          <w:p w:rsidR="000435B5" w:rsidRDefault="00C14656">
            <w:r>
              <w:t>20,15±7,62</w:t>
            </w:r>
          </w:p>
        </w:tc>
        <w:tc>
          <w:tcPr>
            <w:tcW w:w="0" w:type="auto"/>
            <w:vAlign w:val="center"/>
            <w:hideMark/>
          </w:tcPr>
          <w:p w:rsidR="000435B5" w:rsidRDefault="00C14656">
            <w:r>
              <w:t>20,21±5,88</w:t>
            </w:r>
          </w:p>
        </w:tc>
        <w:tc>
          <w:tcPr>
            <w:tcW w:w="0" w:type="auto"/>
            <w:vAlign w:val="center"/>
            <w:hideMark/>
          </w:tcPr>
          <w:p w:rsidR="000435B5" w:rsidRPr="00C14656" w:rsidRDefault="00C14656">
            <w:pPr>
              <w:pStyle w:val="a3"/>
            </w:pPr>
            <w:r w:rsidRPr="00C14656">
              <w:t>10,24±6,91</w:t>
            </w:r>
          </w:p>
          <w:p w:rsidR="000435B5" w:rsidRPr="00C14656" w:rsidRDefault="00C14656">
            <w:pPr>
              <w:pStyle w:val="a3"/>
            </w:pPr>
            <w:r w:rsidRPr="00C14656">
              <w:t>Pн&lt;0,0001</w:t>
            </w:r>
          </w:p>
        </w:tc>
        <w:tc>
          <w:tcPr>
            <w:tcW w:w="0" w:type="auto"/>
            <w:vAlign w:val="center"/>
            <w:hideMark/>
          </w:tcPr>
          <w:p w:rsidR="000435B5" w:rsidRDefault="00C14656">
            <w:r>
              <w:t>6,58±6,7 Pн &lt;0,0001</w:t>
            </w:r>
          </w:p>
        </w:tc>
      </w:tr>
      <w:tr w:rsidR="000435B5">
        <w:trPr>
          <w:trHeight w:val="570"/>
          <w:tblCellSpacing w:w="0" w:type="dxa"/>
        </w:trPr>
        <w:tc>
          <w:tcPr>
            <w:tcW w:w="0" w:type="auto"/>
            <w:vAlign w:val="center"/>
            <w:hideMark/>
          </w:tcPr>
          <w:p w:rsidR="000435B5" w:rsidRDefault="00C14656">
            <w:r>
              <w:t>%</w:t>
            </w:r>
          </w:p>
        </w:tc>
        <w:tc>
          <w:tcPr>
            <w:tcW w:w="0" w:type="auto"/>
            <w:vAlign w:val="center"/>
            <w:hideMark/>
          </w:tcPr>
          <w:p w:rsidR="000435B5" w:rsidRDefault="00C14656">
            <w:r>
              <w:t>Фосфатидилхолины</w:t>
            </w:r>
          </w:p>
        </w:tc>
        <w:tc>
          <w:tcPr>
            <w:tcW w:w="0" w:type="auto"/>
            <w:vAlign w:val="center"/>
            <w:hideMark/>
          </w:tcPr>
          <w:p w:rsidR="000435B5" w:rsidRPr="00C14656" w:rsidRDefault="00C14656">
            <w:pPr>
              <w:pStyle w:val="a3"/>
            </w:pPr>
            <w:r w:rsidRPr="00C14656">
              <w:t>38,58±22,27</w:t>
            </w:r>
          </w:p>
          <w:p w:rsidR="000435B5" w:rsidRPr="00C14656" w:rsidRDefault="00C14656">
            <w:pPr>
              <w:pStyle w:val="a3"/>
            </w:pPr>
            <w:r w:rsidRPr="00C14656">
              <w:t>Pa=0,0085</w:t>
            </w:r>
          </w:p>
        </w:tc>
        <w:tc>
          <w:tcPr>
            <w:tcW w:w="0" w:type="auto"/>
            <w:vAlign w:val="center"/>
            <w:hideMark/>
          </w:tcPr>
          <w:p w:rsidR="000435B5" w:rsidRDefault="00C14656">
            <w:r>
              <w:t>28,06±4,83</w:t>
            </w:r>
          </w:p>
        </w:tc>
        <w:tc>
          <w:tcPr>
            <w:tcW w:w="0" w:type="auto"/>
            <w:vAlign w:val="center"/>
            <w:hideMark/>
          </w:tcPr>
          <w:p w:rsidR="000435B5" w:rsidRDefault="00C14656">
            <w:r>
              <w:t>44,7±8,2</w:t>
            </w:r>
          </w:p>
        </w:tc>
        <w:tc>
          <w:tcPr>
            <w:tcW w:w="0" w:type="auto"/>
            <w:vAlign w:val="center"/>
            <w:hideMark/>
          </w:tcPr>
          <w:p w:rsidR="000435B5" w:rsidRPr="00C14656" w:rsidRDefault="00C14656">
            <w:pPr>
              <w:pStyle w:val="a3"/>
            </w:pPr>
            <w:r w:rsidRPr="00C14656">
              <w:t>52,65±15,27</w:t>
            </w:r>
          </w:p>
          <w:p w:rsidR="000435B5" w:rsidRPr="00C14656" w:rsidRDefault="00C14656">
            <w:pPr>
              <w:pStyle w:val="a3"/>
            </w:pPr>
            <w:r w:rsidRPr="00C14656">
              <w:t>Р=0,0002</w:t>
            </w:r>
          </w:p>
        </w:tc>
      </w:tr>
      <w:tr w:rsidR="000435B5">
        <w:trPr>
          <w:trHeight w:val="555"/>
          <w:tblCellSpacing w:w="0" w:type="dxa"/>
        </w:trPr>
        <w:tc>
          <w:tcPr>
            <w:tcW w:w="0" w:type="auto"/>
            <w:vAlign w:val="center"/>
            <w:hideMark/>
          </w:tcPr>
          <w:p w:rsidR="000435B5" w:rsidRDefault="00C14656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0435B5" w:rsidRDefault="00C14656">
            <w:r>
              <w:t>Фосфатидилэтаноламины</w:t>
            </w:r>
          </w:p>
        </w:tc>
        <w:tc>
          <w:tcPr>
            <w:tcW w:w="0" w:type="auto"/>
            <w:vAlign w:val="center"/>
            <w:hideMark/>
          </w:tcPr>
          <w:p w:rsidR="000435B5" w:rsidRDefault="00C14656">
            <w:r>
              <w:t>18,62±8,43</w:t>
            </w:r>
          </w:p>
        </w:tc>
        <w:tc>
          <w:tcPr>
            <w:tcW w:w="0" w:type="auto"/>
            <w:vAlign w:val="center"/>
            <w:hideMark/>
          </w:tcPr>
          <w:p w:rsidR="000435B5" w:rsidRDefault="00C14656">
            <w:r>
              <w:t>20,34±5,06</w:t>
            </w:r>
          </w:p>
        </w:tc>
        <w:tc>
          <w:tcPr>
            <w:tcW w:w="0" w:type="auto"/>
            <w:vAlign w:val="center"/>
            <w:hideMark/>
          </w:tcPr>
          <w:p w:rsidR="000435B5" w:rsidRPr="00C14656" w:rsidRDefault="00C14656">
            <w:pPr>
              <w:pStyle w:val="a3"/>
            </w:pPr>
            <w:r w:rsidRPr="00C14656">
              <w:t>13,07±4,05</w:t>
            </w:r>
          </w:p>
          <w:p w:rsidR="000435B5" w:rsidRPr="00C14656" w:rsidRDefault="00C14656">
            <w:pPr>
              <w:pStyle w:val="a3"/>
            </w:pPr>
            <w:r w:rsidRPr="00C14656">
              <w:t>Pa=0,005</w:t>
            </w:r>
          </w:p>
        </w:tc>
        <w:tc>
          <w:tcPr>
            <w:tcW w:w="0" w:type="auto"/>
            <w:vAlign w:val="center"/>
            <w:hideMark/>
          </w:tcPr>
          <w:p w:rsidR="000435B5" w:rsidRPr="00C14656" w:rsidRDefault="00C14656">
            <w:pPr>
              <w:pStyle w:val="a3"/>
            </w:pPr>
            <w:r w:rsidRPr="00C14656">
              <w:t>71</w:t>
            </w:r>
          </w:p>
          <w:p w:rsidR="000435B5" w:rsidRPr="00C14656" w:rsidRDefault="00C14656">
            <w:pPr>
              <w:pStyle w:val="a3"/>
            </w:pPr>
            <w:r w:rsidRPr="00C14656">
              <w:t>“гсм</w:t>
            </w:r>
          </w:p>
          <w:p w:rsidR="000435B5" w:rsidRPr="00C14656" w:rsidRDefault="00C14656">
            <w:pPr>
              <w:pStyle w:val="a3"/>
            </w:pPr>
            <w:r w:rsidRPr="00C14656">
              <w:t>О</w:t>
            </w:r>
          </w:p>
          <w:p w:rsidR="000435B5" w:rsidRPr="00C14656" w:rsidRDefault="00C14656">
            <w:pPr>
              <w:pStyle w:val="a3"/>
            </w:pPr>
            <w:r w:rsidRPr="00C14656">
              <w:t>■Ц о 9= ®м =</w:t>
            </w:r>
          </w:p>
        </w:tc>
      </w:tr>
      <w:tr w:rsidR="000435B5">
        <w:trPr>
          <w:trHeight w:val="525"/>
          <w:tblCellSpacing w:w="0" w:type="dxa"/>
        </w:trPr>
        <w:tc>
          <w:tcPr>
            <w:tcW w:w="0" w:type="auto"/>
            <w:vAlign w:val="center"/>
            <w:hideMark/>
          </w:tcPr>
          <w:p w:rsidR="000435B5" w:rsidRDefault="00C14656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0435B5" w:rsidRDefault="00C14656">
            <w:r>
              <w:t>Полиглицерофосфатиды</w:t>
            </w:r>
          </w:p>
        </w:tc>
        <w:tc>
          <w:tcPr>
            <w:tcW w:w="0" w:type="auto"/>
            <w:vAlign w:val="center"/>
            <w:hideMark/>
          </w:tcPr>
          <w:p w:rsidR="000435B5" w:rsidRPr="00C14656" w:rsidRDefault="00C14656">
            <w:pPr>
              <w:pStyle w:val="a3"/>
            </w:pPr>
            <w:r w:rsidRPr="00C14656">
              <w:t>17,07±10,4</w:t>
            </w:r>
          </w:p>
          <w:p w:rsidR="000435B5" w:rsidRPr="00C14656" w:rsidRDefault="00C14656">
            <w:pPr>
              <w:pStyle w:val="a3"/>
            </w:pPr>
            <w:r w:rsidRPr="00C14656">
              <w:t>Pa=0,005</w:t>
            </w:r>
          </w:p>
        </w:tc>
        <w:tc>
          <w:tcPr>
            <w:tcW w:w="0" w:type="auto"/>
            <w:vAlign w:val="center"/>
            <w:hideMark/>
          </w:tcPr>
          <w:p w:rsidR="000435B5" w:rsidRDefault="00C14656">
            <w:r>
              <w:t>28,34±8,65</w:t>
            </w:r>
          </w:p>
        </w:tc>
        <w:tc>
          <w:tcPr>
            <w:tcW w:w="0" w:type="auto"/>
            <w:vAlign w:val="center"/>
            <w:hideMark/>
          </w:tcPr>
          <w:p w:rsidR="000435B5" w:rsidRDefault="00C14656">
            <w:r>
              <w:t>12,97±6,19</w:t>
            </w:r>
          </w:p>
        </w:tc>
        <w:tc>
          <w:tcPr>
            <w:tcW w:w="0" w:type="auto"/>
            <w:vAlign w:val="center"/>
            <w:hideMark/>
          </w:tcPr>
          <w:p w:rsidR="000435B5" w:rsidRDefault="00C14656">
            <w:r>
              <w:t>12,24±8,06 Pн &lt;0,001</w:t>
            </w:r>
          </w:p>
        </w:tc>
      </w:tr>
    </w:tbl>
    <w:p w:rsidR="000435B5" w:rsidRPr="00C14656" w:rsidRDefault="00C14656">
      <w:pPr>
        <w:pStyle w:val="a3"/>
      </w:pPr>
      <w:r>
        <w:t>по сравнению с соответствующим источником натощак; по сравнению с артерией</w:t>
      </w:r>
    </w:p>
    <w:p w:rsidR="000435B5" w:rsidRDefault="00C14656">
      <w:pPr>
        <w:pStyle w:val="a3"/>
      </w:pPr>
      <w:r>
        <w:t>Изучение содержания индивидуальных классов фосфолипидов показало, что количество лизофосфатидов (ЛФ) в липопротеиновых комплексах (ЛПК) вены больше, чем в артерии (p = 0,04), что свидетельствует о возможном реациллирова- нии ЛФ в легких. После еды количество ЛФ в ЛПК a.f. достоверно увеличивается (p = 0,01). Содержание СФМ в ЛПК v.s и a.f. до еды достоверно выше (p &lt; 0,0001), чем после еды. Учитывая важность СФМ и их производных в функционировании легких [8], можно предположить, что выявленный факт может иметь важное функциональное значение. Содержание остальных классов фосфолипидов в v.s. до и после еды не имело отличий. В a.f. после еды количество ФХ было достоверно выше, чем до еды (0,0002). Учитывая, что в v.s. достоверных отличий не выявлено, можно предположить, что увеличение содержания ЛФ, СФМ и ФХ не связано с их поступлением с пищей, а обусловлено метаболической реакцией легких и печени на поступление пищи в организм. Следует обратить внимание, что натощак содержание ФХ в a.f было достоверно ниже (p = 0,0085), чем в v.s., что может говорить об элиминации этого класса фосфолипидов легкими из исследуемой фракции ЛПК. После еды эти отличия нивелируются. Содержание ФЭА и ПГФ в исследуемых ЛПК a.f. после еды было достоверно ниже, чем до еды ( р = 0,005, &lt; 0,001 соответственно), при этом содержание ФЭА в a.f. после еды было достоверно ниже, чем в v.s. (р = 0,021), что может быть свидетельством элиминации этого класса фосфолипидов легкими. Поскольку в качестве основного фосфолипида сурфактанта легких используется дипаль- митоилфосфатидилхолин [11], вероятно, после еды легкие элиминируют из ХМ и ЛПОНП его предшественники — фосфа- тидилэтаноламины для синтеза ФХ в реакции трансметилирования. В свою очередь, содержание ПГФ в ЛПК a.f. было достоверно (р = 0,005) выше, чем в ЛПК v.s., полученных до приема пищи. Учитывая, что ПГФ, и, в частности, одни из их представителей — кардиолипины, являются неотъемлемыми фосфолипидами внутренней мембраны митохондрий, нормальное функционирование которых является одним из наиболее важных составляющих здоровых легких [12], можно предположить, что полученные изменения имеют отношение к метаболизму митохондрий легких.</w:t>
      </w:r>
    </w:p>
    <w:p w:rsidR="000435B5" w:rsidRDefault="00C14656">
      <w:pPr>
        <w:pStyle w:val="a3"/>
      </w:pPr>
      <w:r>
        <w:t>Таким образом, можно сделать следующие выводы:</w:t>
      </w:r>
    </w:p>
    <w:p w:rsidR="000435B5" w:rsidRDefault="00C14656">
      <w:pPr>
        <w:pStyle w:val="a3"/>
      </w:pPr>
      <w:r>
        <w:t>легкие являются активным участником метаболизма ХМ и ЛПОНП;</w:t>
      </w:r>
    </w:p>
    <w:p w:rsidR="000435B5" w:rsidRDefault="00C14656">
      <w:pPr>
        <w:pStyle w:val="a3"/>
      </w:pPr>
      <w:r>
        <w:t>участие легких в метаболизме ХМ и ЛПОНП до и после еды имеет отличия:</w:t>
      </w:r>
    </w:p>
    <w:p w:rsidR="000435B5" w:rsidRDefault="00C14656">
      <w:pPr>
        <w:pStyle w:val="a3"/>
      </w:pPr>
      <w:r>
        <w:t>— натощак легкие элиминируют ФХ и ЛФ, но увеличивают количество ПГФ;</w:t>
      </w:r>
    </w:p>
    <w:p w:rsidR="000435B5" w:rsidRDefault="00C14656">
      <w:pPr>
        <w:pStyle w:val="a3"/>
      </w:pPr>
      <w:r>
        <w:t>— после еды легкие элиминируют ФЭА.</w:t>
      </w:r>
    </w:p>
    <w:p w:rsidR="000435B5" w:rsidRDefault="00C14656">
      <w:pPr>
        <w:pStyle w:val="a3"/>
      </w:pPr>
      <w:r>
        <w:t>Для уточнения соединений предпочтительно элиминирующихся легкими из кровотока необходимо провести исследования изолированных хиломикронов после приема различных по составу пищевых продуктов, что является целью дальнейших исследований.</w:t>
      </w:r>
    </w:p>
    <w:p w:rsidR="000435B5" w:rsidRDefault="00C14656">
      <w:pPr>
        <w:pStyle w:val="a3"/>
      </w:pPr>
      <w:r>
        <w:t>Список литературы</w:t>
      </w:r>
    </w:p>
    <w:p w:rsidR="000435B5" w:rsidRDefault="00C14656">
      <w:pPr>
        <w:pStyle w:val="a3"/>
      </w:pPr>
      <w:r>
        <w:t>Березов Т.Т., Коровкин Б.Ф. Биологическая химия. М.: Медицина, 1983. 390 с.</w:t>
      </w:r>
    </w:p>
    <w:p w:rsidR="000435B5" w:rsidRDefault="00C14656">
      <w:pPr>
        <w:pStyle w:val="a3"/>
      </w:pPr>
      <w:r>
        <w:t>Биохимические методы исследования в клинике: справочник / под ред. А.А. Покровского. М.: Медицина, 1969.</w:t>
      </w:r>
    </w:p>
    <w:p w:rsidR="000435B5" w:rsidRDefault="00C14656">
      <w:pPr>
        <w:pStyle w:val="a3"/>
      </w:pPr>
      <w:r>
        <w:t>Кухта В.К., Морозкина Т.С., Олецкий Э.И., Таганович А.Д. Биологическая химия. Минск: БИНОМ, 2008. 688 с.</w:t>
      </w:r>
    </w:p>
    <w:p w:rsidR="000435B5" w:rsidRDefault="00C14656">
      <w:pPr>
        <w:pStyle w:val="a3"/>
      </w:pPr>
      <w:r>
        <w:t>Кейтс М. Техника липидологии: М.: Мир; 1975. 322 c.</w:t>
      </w:r>
    </w:p>
    <w:p w:rsidR="000435B5" w:rsidRDefault="00C14656">
      <w:pPr>
        <w:pStyle w:val="a3"/>
      </w:pPr>
      <w:r>
        <w:t>Холодова Ю.Д., Чаяло П.П. Липопротеины крови: Киев: Наукова думка. 1990. 208 с.</w:t>
      </w:r>
    </w:p>
    <w:p w:rsidR="000435B5" w:rsidRDefault="00C14656">
      <w:pPr>
        <w:pStyle w:val="a3"/>
      </w:pPr>
      <w:r>
        <w:t>Hayashi H, Fujimoto K, Cardelli JA, [et al.] Fat feeding increases size, but not number, of chylomicrons produced by small intestine // Am J Physiol. 1990. № 5. P. 709-719. (in USA).</w:t>
      </w:r>
    </w:p>
    <w:p w:rsidR="000435B5" w:rsidRDefault="00C14656">
      <w:pPr>
        <w:pStyle w:val="a3"/>
      </w:pPr>
      <w:r>
        <w:t>Lindgren FT, Nichols AV, Freeman NK, [et al.]. Analis of low density lipoproteins by preparative ultracentrifugation and refractometry // J. Of lipid research. 1964. Vol. 5. P 68-74 (in USA).</w:t>
      </w:r>
    </w:p>
    <w:p w:rsidR="000435B5" w:rsidRDefault="00C14656">
      <w:pPr>
        <w:pStyle w:val="a3"/>
      </w:pPr>
      <w:r>
        <w:t>Yang Y, Uhlig S. The role of sphingolipids in respiratory disease // Ther. Adv Respir Dis. 2011. № P. 325-344. (in USA).</w:t>
      </w:r>
    </w:p>
    <w:p w:rsidR="000435B5" w:rsidRDefault="00C14656">
      <w:pPr>
        <w:pStyle w:val="a3"/>
      </w:pPr>
      <w:r>
        <w:t>Mayer K, Kiessling A., Ott J, [et al. ] Acute lung injury is reduced in fat-1 mice endogenously synthesizing n-3 fatty acids // AM J Respir Crit Care Med. 2009. Vol. 179:P. 474-83. (in USA).</w:t>
      </w:r>
    </w:p>
    <w:p w:rsidR="000435B5" w:rsidRDefault="00C14656">
      <w:pPr>
        <w:pStyle w:val="a3"/>
      </w:pPr>
      <w:r>
        <w:t>RogersL.K., Valentine C.J., Pennell M., [et al. ] Maternal docosahexaenoic acid supplementation decreases lung inflammation in hyperoxia-exposed newborn mice. // J Nutr. 2011.№ 2. P. 214-222. (in USA).</w:t>
      </w:r>
    </w:p>
    <w:p w:rsidR="000435B5" w:rsidRDefault="00C14656">
      <w:pPr>
        <w:pStyle w:val="a3"/>
      </w:pPr>
      <w:r>
        <w:t>Seehase M., Collins J.J., Kuypers E., [et al.]. New surfactant with SP-B and C analogs gives survival benefit after inactivation in preterm lambs. [electronic resource] // PLoS One. 2012. 7(10): e47631. 10.1371/journal.pone.0047631.</w:t>
      </w:r>
    </w:p>
    <w:p w:rsidR="000435B5" w:rsidRDefault="00C14656">
      <w:pPr>
        <w:pStyle w:val="a3"/>
      </w:pPr>
      <w:r>
        <w:t>Ulaganathan Mabalirajan and Balaram Ghosh Mitochondrial Dysfunction in Metabolic Syndrome and Asthma. [electronic resource] // Journal of Allergy. Volume2013 (2013), ArticleID340476, 12 pageshttp://dx.doi.org/10.1155/2013/340476.</w:t>
      </w:r>
      <w:bookmarkStart w:id="0" w:name="_GoBack"/>
      <w:bookmarkEnd w:id="0"/>
    </w:p>
    <w:sectPr w:rsidR="000435B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4656"/>
    <w:rsid w:val="000220AD"/>
    <w:rsid w:val="000435B5"/>
    <w:rsid w:val="00C1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F9E2BD-AEDB-468F-9081-F8C738D73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1552</Words>
  <Characters>8847</Characters>
  <Application>Microsoft Office Word</Application>
  <DocSecurity>0</DocSecurity>
  <Lines>73</Lines>
  <Paragraphs>20</Paragraphs>
  <ScaleCrop>false</ScaleCrop>
  <Company>diakov.net</Company>
  <LinksUpToDate>false</LinksUpToDate>
  <CharactersWithSpaces>10379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Состав хиломикронов и липопротеинов очень низкой плотности в vena subclavia и arteria femoralis</dc:title>
  <dc:subject/>
  <dc:creator>Irina</dc:creator>
  <cp:keywords/>
  <dc:description/>
  <cp:lastModifiedBy>Irina</cp:lastModifiedBy>
  <cp:revision>2</cp:revision>
  <dcterms:created xsi:type="dcterms:W3CDTF">2014-08-02T20:21:00Z</dcterms:created>
  <dcterms:modified xsi:type="dcterms:W3CDTF">2014-08-02T20:21:00Z</dcterms:modified>
</cp:coreProperties>
</file>