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97A" w:rsidRDefault="0033697A" w:rsidP="00D10A27">
      <w:pPr>
        <w:spacing w:after="0" w:line="240" w:lineRule="auto"/>
        <w:contextualSpacing/>
        <w:jc w:val="both"/>
        <w:outlineLvl w:val="2"/>
        <w:rPr>
          <w:rFonts w:ascii="Times New Roman" w:eastAsia="Times New Roman" w:hAnsi="Times New Roman"/>
          <w:color w:val="000000"/>
          <w:sz w:val="28"/>
          <w:szCs w:val="28"/>
          <w:lang w:eastAsia="ru-RU"/>
        </w:rPr>
      </w:pPr>
    </w:p>
    <w:p w:rsidR="00593BD7" w:rsidRPr="00D10A27" w:rsidRDefault="00593BD7" w:rsidP="00D10A27">
      <w:pPr>
        <w:spacing w:after="0" w:line="240" w:lineRule="auto"/>
        <w:contextualSpacing/>
        <w:jc w:val="both"/>
        <w:outlineLvl w:val="2"/>
        <w:rPr>
          <w:rFonts w:ascii="Times New Roman" w:eastAsia="Times New Roman" w:hAnsi="Times New Roman"/>
          <w:color w:val="000000"/>
          <w:sz w:val="28"/>
          <w:szCs w:val="28"/>
          <w:lang w:eastAsia="ru-RU"/>
        </w:rPr>
      </w:pPr>
      <w:r w:rsidRPr="00D10A27">
        <w:rPr>
          <w:rFonts w:ascii="Times New Roman" w:eastAsia="Times New Roman" w:hAnsi="Times New Roman"/>
          <w:color w:val="000000"/>
          <w:sz w:val="28"/>
          <w:szCs w:val="28"/>
          <w:lang w:eastAsia="ru-RU"/>
        </w:rPr>
        <w:t>Учет движения материальных ценностей</w:t>
      </w:r>
    </w:p>
    <w:p w:rsidR="00593BD7" w:rsidRPr="00D10A27" w:rsidRDefault="00593BD7" w:rsidP="00D10A27">
      <w:pPr>
        <w:spacing w:after="0" w:line="240" w:lineRule="auto"/>
        <w:contextualSpacing/>
        <w:jc w:val="both"/>
        <w:rPr>
          <w:rFonts w:ascii="Times New Roman" w:eastAsia="Times New Roman" w:hAnsi="Times New Roman"/>
          <w:sz w:val="28"/>
          <w:szCs w:val="28"/>
          <w:lang w:eastAsia="ru-RU"/>
        </w:rPr>
      </w:pPr>
    </w:p>
    <w:p w:rsidR="00593BD7" w:rsidRPr="00D10A27" w:rsidRDefault="00593BD7" w:rsidP="00D10A27">
      <w:pPr>
        <w:spacing w:after="0"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color w:val="0066CC"/>
          <w:sz w:val="28"/>
          <w:szCs w:val="28"/>
          <w:u w:val="single"/>
          <w:lang w:eastAsia="ru-RU"/>
        </w:rPr>
        <w:t>ЗАО "BKR-Интерком-Аудит"</w:t>
      </w:r>
      <w:r w:rsidRPr="00D10A27">
        <w:rPr>
          <w:rFonts w:ascii="Times New Roman" w:eastAsia="Times New Roman" w:hAnsi="Times New Roman"/>
          <w:sz w:val="28"/>
          <w:szCs w:val="28"/>
          <w:lang w:eastAsia="ru-RU"/>
        </w:rPr>
        <w:t xml:space="preserve"> </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Все хозяйственные операции, проводимые организацией, согласно статье 9 Федерального закона от 21 ноября 1996 года №129-ФЗ «О бухгалтерском учете» (далее - Федеральный закон №129-ФЗ), должны оформляться оправдательными документами. Эти документы являются первичными документами, на основании которых ведется бухгалтерский учет.</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Хозяйственные операции, не оформленные первичными учетными документами, не принимаются к учету и не подлежат отражению в регистрах бухгалтерского учета.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Первичные учетные документы принимаются к учету в том случае, если они составлены по форме, содержащейся в альбомах унифицированных форм первичной учетной документации.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Разработанные и утвержденные унифицированные формы первичной учетной документации в соответствии с Постановлением Правительства Российской Федерации от 8 июля 1997 года №835 «О первичных учетных документах» должны применяться всеми организациями, независимо от их организационно-правовой формы.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 соответствии с Постановлением Госкомстата Российской Федерации от 24 марта 1999 года №20 «Об утверждении порядка применения унифицированных форм первичной учетной документации» в унифицированные формы первичной учетной документации, кроме форм по учету кассовых операций, организация при необходимости может вносить дополнительные реквизиты. При этом все реквизиты утвержденных унифицированных форм первичной учетной документации остаются без изменения, включая код, номер формы, наименование документа.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b/>
          <w:bCs/>
          <w:sz w:val="28"/>
          <w:szCs w:val="28"/>
          <w:lang w:eastAsia="ru-RU"/>
        </w:rPr>
        <w:t>Обратите внимание!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Удаление отдельных реквизитов из унифицированных форм не допускается.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Если организация приняла решение о внесении изменений в уже утвержденные формы, то такие изменения должны быть оформлены соответствующим организационно - распорядительным документом организации.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Форматы бланков, указанных в альбомах унифицированных форм первичной учетной документации, являются рекомендуемыми. В случае необходимости организация может изменить формат бланков. В частности могут быть расширены или сужены графы и строки, включены дополнительные строки и вкладные листы для удобства размещения и обработки необходимой информации.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bookmarkStart w:id="0" w:name="_Toc146085847"/>
      <w:r w:rsidRPr="00D10A27">
        <w:rPr>
          <w:rFonts w:ascii="Times New Roman" w:eastAsia="Times New Roman" w:hAnsi="Times New Roman"/>
          <w:b/>
          <w:bCs/>
          <w:sz w:val="28"/>
          <w:szCs w:val="28"/>
          <w:lang w:eastAsia="ru-RU"/>
        </w:rPr>
        <w:t>Поступление материальных ценностей на склад</w:t>
      </w:r>
      <w:bookmarkEnd w:id="0"/>
      <w:r w:rsidRPr="00D10A27">
        <w:rPr>
          <w:rFonts w:ascii="Times New Roman" w:eastAsia="Times New Roman" w:hAnsi="Times New Roman"/>
          <w:b/>
          <w:bCs/>
          <w:sz w:val="28"/>
          <w:szCs w:val="28"/>
          <w:lang w:eastAsia="ru-RU"/>
        </w:rPr>
        <w:t>.</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bookmarkStart w:id="1" w:name="_Toc146085848"/>
      <w:r w:rsidRPr="00D10A27">
        <w:rPr>
          <w:rFonts w:ascii="Times New Roman" w:eastAsia="Times New Roman" w:hAnsi="Times New Roman"/>
          <w:b/>
          <w:bCs/>
          <w:sz w:val="28"/>
          <w:szCs w:val="28"/>
          <w:lang w:eastAsia="ru-RU"/>
        </w:rPr>
        <w:t>Поступление материально-производственных запасов</w:t>
      </w:r>
      <w:bookmarkEnd w:id="1"/>
      <w:r w:rsidRPr="00D10A27">
        <w:rPr>
          <w:rFonts w:ascii="Times New Roman" w:eastAsia="Times New Roman" w:hAnsi="Times New Roman"/>
          <w:b/>
          <w:bCs/>
          <w:sz w:val="28"/>
          <w:szCs w:val="28"/>
          <w:lang w:eastAsia="ru-RU"/>
        </w:rPr>
        <w:t>.</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Бухгалтерский учет материально-производственных запасов организации, являющиеся юридическими лицами по законодательству Российской Федерации (за исключением бюджетных и кредитных организаций), должны осуществлять в соответствии с Положением по бухгалтерскому учету «Учет материально-производственных запасов» ПБУ 5/01, утвержденным Приказом Минфина Российской Федерации от 9 июня 2001 года №44н (далее - ПБУ 5/01).</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К бухгалтерскому учету в качестве материально-производственных запасов, согласно пункту 2 ПБУ 5/01, принимаются: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сырье, материалы, и другие активы, используемые при производстве продукции, предназначенной для продажи (выполнения работ, оказания услуг);</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активы, предназначенные для продажи (готовая продукция и товары);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активы, используемые для управленческих нужд организации.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Согласно Российскому Энциклопедическому словарю сырье представляет собой сырье и материалы, подвергшиеся ранее воздействию труда и подлежащие дальнейшей переработке (например, добытая руда).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Различают первичное и вторичное сырье. К первичному сырью относятся уже названная нами добытая руда, хлопок-сырец, природный газ и так далее, вторичное сырье представляет собой пришедшие в негодность готовые изделия – металлолом, макулатура и другие.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Материалы представляют собой продукцию, которую расходуют с изменением формы, состава, состояния при изготовлении изделий, в том числе материалы, участвующие в сборке или производстве товаров на продажу. Стоимость материалов включается в себестоимость продукции.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Согласно пункту 42 Методических указаний по бухгалтерскому учету материально-производственных запасов, утвержденных Приказом Минфина Российской Федерации от 28 декабря 2001 года №119н «Об утверждении методических указаний по бухгалтерскому учету материально-производственных запасов» (далее - Методические указания №119н) материалы – это вид запасов. К материалам относятся сырье, основные и вспомогательные материалы, покупные полуфабрикаты и комплектующие изделия, топливо, тара, запасные части, строительные и прочие материалы.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Полуфабрикаты собственного производства – это продукты, изготовление которых закончено в одном или нескольких цехах, но подлежащие дальнейшей обработке в других цехах.</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b/>
          <w:bCs/>
          <w:sz w:val="28"/>
          <w:szCs w:val="28"/>
          <w:lang w:eastAsia="ru-RU"/>
        </w:rPr>
        <w:t>Обратите внимание!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Данные складского учета материально-производственных запасов, оперативного учета их движения в подразделениях организации должны соответствовать данным бухгалтерского учета материально-производственных запасов. Приведенное положение является одним из основных требований, предъявляемых к бухгалтерскому учету материально-производственных запасов.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Материалы со складов поставщика или от транспортной организации получает уполномоченное лицо организации.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Право лица выступать в качестве доверенного лица организации при получении материальных ценностей от поставщиков оформляется выдачей </w:t>
      </w:r>
      <w:bookmarkStart w:id="2" w:name="_Hlk114463413"/>
      <w:r w:rsidRPr="00D10A27">
        <w:rPr>
          <w:rFonts w:ascii="Times New Roman" w:eastAsia="Times New Roman" w:hAnsi="Times New Roman"/>
          <w:b/>
          <w:bCs/>
          <w:sz w:val="28"/>
          <w:szCs w:val="28"/>
          <w:lang w:eastAsia="ru-RU"/>
        </w:rPr>
        <w:t>доверенности (формы №М-2 и №М-2а)</w:t>
      </w:r>
      <w:bookmarkEnd w:id="2"/>
      <w:r w:rsidRPr="00D10A27">
        <w:rPr>
          <w:rFonts w:ascii="Times New Roman" w:eastAsia="Times New Roman" w:hAnsi="Times New Roman"/>
          <w:sz w:val="28"/>
          <w:szCs w:val="28"/>
          <w:lang w:eastAsia="ru-RU"/>
        </w:rPr>
        <w:t>. Унифицированные формы доверенностей утверждены Постановлением Госкомстата Российской Федерации от 30 октября 1997 года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(далее - Постановление №71а).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Доверенность оформляется в бухгалтерии в одном экземпляре и выдается получателю под расписку.</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Организации, у которых получение материальных ценностей по доверенности носит массовый характер, применяют форму №М-2а и выдачу этих доверенностей регистрируют в журнале учета выданных доверенностей. Журнал должен быть предварительно пронумерован и прошнурован. Рекомендуемая форма журнала учета доверенностей должна содержать следующие графы: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 доверенности;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дата выдачи доверенности;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срок действия;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должность и фамилия лица, которому выдана доверенность;</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наименование поставщика;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 и дата наряда (счета, спецификации и другого заменяющего наряд документа) или извещения;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расписка лица, получившего доверенность и другие.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После регистрации доверенности в журнале работник организации, получающий материально-производственные ценности, обязан расписаться в доверенности.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Доверенности выдаются только лицам, работающим в данной организации, иным лицам выдача доверенностей не допускается. Выдаваемая доверенность должна быть полностью заполнена и должна содержать образец подписи лица, на имя которого она выписана. Согласно пункту 5 статьи 185 Гражданского кодекса Российской Федерации (далее - ГК РФ) доверенность от имени юридического лица выдается за подписью его руководителя или иного лица, уполномоченного на это учредительными документами, с приложением печати этой организации. Если юридическое лицо основано на государственной или муниципальной собственности, доверенность на получение или выдачу денег и других имущественных ценностей, выдаваемая от имени такого юридического лица, должна быть подписана также главным (старшим) бухгалтером этой организации.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Доверенность на совершение сделок, требующих нотариальной формы, должна быть удостоверена нотариально, за исключением случаев, предусмотренных законом.</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Как правило, доверенности выдаются на 10 - 15 дней, но в случае получения товарно-материальных ценностей в порядке плановых платежей доверенность может быть выдана на более длительный срок. </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Срок действия доверенности в соответствии со статьей 186 ГК РФ не может превышать трех лет. Если срок в доверенности не указан, она сохраняет силу в течение одного года со дня ее совершения. Доверенность, в которой не указана дата ее совершения, ничтожна.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Все материальные ценности, поступающие в организацию, должны быть своевременно приняты на учет соответствующими складами.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 некоторых случаях в интересах производства материальные ценности целесообразно направлять непосредственно в соответствующие подразделения организации, минуя склады. Тем не менее, такие материальные ценности в учете отражаются как поступившие на склад и переданные в цех или на участок. В первичных приходных документах делается отметка о том, что материальные ценности выданы подразделениям транзитом, то есть без завоза на склад или в кладовую. Следует учесть, что перечень материалов, которые могут транзитом направляться в подразделения и на участки организации, должен быть определен и оформлен приказом.</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Материальные ценности, поступающие на склад организации, должны подвергаться тщательной проверке в отношении их соответствия ассортименту, количеству и качеству, указанных в документах поставщика.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b/>
          <w:bCs/>
          <w:sz w:val="28"/>
          <w:szCs w:val="28"/>
          <w:lang w:eastAsia="ru-RU"/>
        </w:rPr>
        <w:t>Обратите внимание!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Материалы должны приниматься к учету в соответствующих единицах измерения, по весу, объему, счету и так далее. По этим же единицам измерения устанавливается и учетная цена.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На практике нередки случаи, когда материалы поступают в одной единице измерения, например, в тоннах, а отпускаются со склада в другой единице измерения, например, в литрах. В такой ситуации принятие к учету и отпуск материалов должны отражаться в первичных документах, в складских карточках и регистрах бухгалтерского учета одновременно в двух единицах измерения. При этом вначале записывается количество в той единице измерения, которая указана в документах поставщика, а затем в скобках - количество в единице измерения, по которой материалы будут отпускаться со склада.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Если в документах поставщика указана более крупная или более мелкая единица измерения, чем принято в организации, такие материалы принимаются к учету в той единице измерения, которая принята в данной организации.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 пункте 50 Методических указаний №119н сказано, что если отражать движение материала в двух единицах измерения затруднительно, то можно перевести материал в другую единицу измерения, составив при этом акт перевода. В акте перевода в другую единицу измерения следует указать количество материала в единицах измерения, указанных в документах поставщика, и в единице измерения, по которой материал будет отпускаться со склада. Одновременно определяется учетная цена материала в новой единице измерения. В карточке складского учета записи о принятии материалов к учету делаются в единице измерения поставщика, а также в новой единице измерения, при этом делается ссылка на акт.</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Пунктом 49 Методических указаний №119н установлено, что приемка и принятие к учету поступающих материалов, при условии отсутствия расхождений между данными поставщика и фактическими данными, оформляется соответствующими складами путем составления </w:t>
      </w:r>
      <w:bookmarkStart w:id="3" w:name="_Hlk114463423"/>
      <w:r w:rsidRPr="00D10A27">
        <w:rPr>
          <w:rFonts w:ascii="Times New Roman" w:eastAsia="Times New Roman" w:hAnsi="Times New Roman"/>
          <w:b/>
          <w:bCs/>
          <w:sz w:val="28"/>
          <w:szCs w:val="28"/>
          <w:lang w:eastAsia="ru-RU"/>
        </w:rPr>
        <w:t xml:space="preserve">приходных ордеров (форма №М-4). </w:t>
      </w:r>
      <w:bookmarkEnd w:id="3"/>
      <w:r w:rsidRPr="00D10A27">
        <w:rPr>
          <w:rFonts w:ascii="Times New Roman" w:eastAsia="Times New Roman" w:hAnsi="Times New Roman"/>
          <w:sz w:val="28"/>
          <w:szCs w:val="28"/>
          <w:lang w:eastAsia="ru-RU"/>
        </w:rPr>
        <w:t>Вместо оформления приходного ордера допускается проставление на документе поставщика штампа, оттиск которого содержит те же реквизиты, что и приходный ордер. В этом случае заполняются реквизиты штампа и ставится очередной номер приходного ордера, такой штамп приравнивается к приходному ордеру. Заметим, что помимо Методических указаний №119н, на это указывает и Письмо Минфина Российской Федерации от 29 октября 2002 года №16-00-14/414 «Об оформлении документов по приемке и оприходованию материалов».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b/>
          <w:bCs/>
          <w:sz w:val="28"/>
          <w:szCs w:val="28"/>
          <w:lang w:eastAsia="ru-RU"/>
        </w:rPr>
        <w:t>Приходный ордер (форма №М-4)</w:t>
      </w:r>
      <w:r w:rsidRPr="00D10A27">
        <w:rPr>
          <w:rFonts w:ascii="Times New Roman" w:eastAsia="Times New Roman" w:hAnsi="Times New Roman"/>
          <w:sz w:val="28"/>
          <w:szCs w:val="28"/>
          <w:lang w:eastAsia="ru-RU"/>
        </w:rPr>
        <w:t xml:space="preserve"> применяется для учета материалов, поступающих от поставщиков или из переработки. Составляется приходный ордер на фактическое количество поступивших материальных ценностей материально ответственным лицом в одном экземпляре в день поступления ценностей на склад. В том случае, если поступающие материальные ценности содержат драгоценные металлы и камни, в данной форме заполняется графа «Номер паспорта».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На массовые однородные грузы, например руду, известняк, песок, щебень, уголь и другие, которые прибывают от одного и того же поставщика несколько раз в течение одного дня, допускается составление приходного ордера в целом за день. О каждой приемке делается запись на обороте приходного ордера. В конце дня обороты подсчитываются, общий итог заносится в приходный ордер.</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На практике нередки случаи, когда при приеме материальных ценностей материально-ответственным лицом выявляется несоответствие поступивших материалов их ассортименту, количеству и качеству, указанных в документах поставщика. В такой ситуации приходный ордер формы №М-4 не составляется, а составляется </w:t>
      </w:r>
      <w:bookmarkStart w:id="4" w:name="_Hlk114463430"/>
      <w:r w:rsidRPr="00D10A27">
        <w:rPr>
          <w:rFonts w:ascii="Times New Roman" w:eastAsia="Times New Roman" w:hAnsi="Times New Roman"/>
          <w:b/>
          <w:bCs/>
          <w:sz w:val="28"/>
          <w:szCs w:val="28"/>
          <w:lang w:eastAsia="ru-RU"/>
        </w:rPr>
        <w:t>Акт о приемке материалов (форма №М-7).</w:t>
      </w:r>
      <w:r w:rsidRPr="00D10A27">
        <w:rPr>
          <w:rFonts w:ascii="Times New Roman" w:eastAsia="Times New Roman" w:hAnsi="Times New Roman"/>
          <w:sz w:val="28"/>
          <w:szCs w:val="28"/>
          <w:lang w:eastAsia="ru-RU"/>
        </w:rPr>
        <w:t xml:space="preserve"> </w:t>
      </w:r>
      <w:bookmarkEnd w:id="4"/>
      <w:r w:rsidRPr="00D10A27">
        <w:rPr>
          <w:rFonts w:ascii="Times New Roman" w:eastAsia="Times New Roman" w:hAnsi="Times New Roman"/>
          <w:sz w:val="28"/>
          <w:szCs w:val="28"/>
          <w:lang w:eastAsia="ru-RU"/>
        </w:rPr>
        <w:t>Данный акт составляется также для оформления приемки материалов, поступивших без документов.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Данный акт является юридическим основанием для предъявления претензии поставщику, отправителю.</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Акт составляется комиссией, в состав которой в обязательном порядке входит материально ответственное лицо, представитель отправителя (поставщика) или представитель незаинтересованной организации.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Акт составляется в двух экземплярах, один из которых с приложенными документами передается в бухгалтерию, а другой – отделу снабжения или бухгалтерии для направления претензионного письма поставщику. Если в организации есть юридический отдел, то составление претензионного письма может быть поручено данному отделу.</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Приходные ордера и акты о приемке материалов должны составляться в день их поступления. В некоторых случаях, когда отдельные партии материалов находятся в процессе технической приемки или лабораторного испытания, материалы принимаются на ответственное хранение. В этом случае заведующий складом или кладовщик делает записи о таких материалах в специальную книгу. Записи в данной книге ведутся с подразделением материалов: «Материалы, ожидающие приемки» и «Материалы, принятые на ответственное хранение». На складах и в кладовых такие материалы должны храниться обособленно и до выяснения результатов приемки расходование их не допускается.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Следует обратить внимание, что сдаче на склад подлежат и материалы, закупленные подотчетными лицами. Принятие к учету таких материалов производится в общеустановленном порядке на основании оправдательных документов, подтверждающих их приобретение. Такими документами могут выступать накладные, мягкие чеки к чекам ККТ, счета-фактуры, закупочные акты при покупке материалов у населения. Все перечисленные виды документов и документы, свидетельствующие о том, что материалы оплачены, в обязательном порядке должны быть приложены к авансовому отчету подотчетного лица.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Учет движения материалов на складе по каждому сорту, виду и размеру, ведется в </w:t>
      </w:r>
      <w:r w:rsidRPr="00D10A27">
        <w:rPr>
          <w:rFonts w:ascii="Times New Roman" w:eastAsia="Times New Roman" w:hAnsi="Times New Roman"/>
          <w:b/>
          <w:bCs/>
          <w:sz w:val="28"/>
          <w:szCs w:val="28"/>
          <w:lang w:eastAsia="ru-RU"/>
        </w:rPr>
        <w:t xml:space="preserve">Карточке учета материалов (форма №М-17), </w:t>
      </w:r>
      <w:r w:rsidRPr="00D10A27">
        <w:rPr>
          <w:rFonts w:ascii="Times New Roman" w:eastAsia="Times New Roman" w:hAnsi="Times New Roman"/>
          <w:sz w:val="28"/>
          <w:szCs w:val="28"/>
          <w:lang w:eastAsia="ru-RU"/>
        </w:rPr>
        <w:t>заполняемой на каждый номенклатурный номер материала. Записи в карточке ведутся материально-ответственным лицом на основании первичных приходно-расходных документов в день совершения операции.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b/>
          <w:bCs/>
          <w:sz w:val="28"/>
          <w:szCs w:val="28"/>
          <w:lang w:eastAsia="ru-RU"/>
        </w:rPr>
        <w:t>Более подробно с вопросами, касающимися материально-производственных запасов, Вы можете ознакомиться в книге авторов ЗАО «BKR-Интерком-Аудит» «Материально-производственные запасы».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bookmarkStart w:id="5" w:name="_Toc95890443"/>
      <w:bookmarkStart w:id="6" w:name="_Toc146085849"/>
      <w:bookmarkStart w:id="7" w:name="_Toc82942916"/>
      <w:bookmarkEnd w:id="5"/>
      <w:bookmarkEnd w:id="6"/>
      <w:r w:rsidRPr="00D10A27">
        <w:rPr>
          <w:rFonts w:ascii="Times New Roman" w:eastAsia="Times New Roman" w:hAnsi="Times New Roman"/>
          <w:b/>
          <w:bCs/>
          <w:sz w:val="28"/>
          <w:szCs w:val="28"/>
          <w:lang w:eastAsia="ru-RU"/>
        </w:rPr>
        <w:t>Прием и получение товара</w:t>
      </w:r>
      <w:bookmarkEnd w:id="7"/>
      <w:r w:rsidRPr="00D10A27">
        <w:rPr>
          <w:rFonts w:ascii="Times New Roman" w:eastAsia="Times New Roman" w:hAnsi="Times New Roman"/>
          <w:b/>
          <w:bCs/>
          <w:sz w:val="28"/>
          <w:szCs w:val="28"/>
          <w:lang w:eastAsia="ru-RU"/>
        </w:rPr>
        <w:t>.</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Выше мы говорили о том, что к бухгалтерскому учету в качестве материально-производственных запасов, наряду с сырьем, материалами, иными активами, принимаются и товары.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Основанием для отражения операций по поступлению товаров являются Унифицированные формы первичной учетной документации по учету торговых операций, утвержденные Постановлением Госкомстата Российской Федерации от 25 декабря 1998 года №132 (далее - Постановление №132).</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Согласно пункту 2.1.1 Методических рекомендаций по учету и оформлению операций приема, хранения и отпуска товаров в организациях торговли, утвержденных Письмом Роскомторга от 10 июля 1996 года №1-794/32-5, порядок и сроки приема товаров по количеству, качеству и комплектности и его документального оформления регулируются действующими техническими условиями, условиями поставки, договорами купли - продажи и инструкциями о порядке приемки товаров народного потребления по количеству, качеству и комплектности.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Передача товара покупателю оформляется товаросопроводительными документами, предусмотренными условиями поставки и перевозки товара. Это могут быть накладные, товарно-транспортные накладные, железнодорожные накладные, счета, счета-фактуры.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Товары, приобретаемые организацией торговли для перепродажи, могут поступать непосредственно к ней на склад, а могут приниматься торговой организацией вне собственного склада.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Осуществляя приемку на своем складе, организация торговли может заверить товаросопроводительный документ своим штампом, в этом случае не требуется доверенность. Если приемка осуществляется вне склада покупателя (на складе поставщика, на железнодорожной станции, пристани, в аэропорту), то получение товара осуществляется материально-ответственным лицом организации торговли по доверенности, которая подтверждает право материально-ответственного лица на получение товара. Порядок оформления доверенности был рассмотрен выше.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Пунктом 2.1.5 Методических рекомендаций по учету и оформлению операций приема, хранения и отпуска товаров в организациях торговли, утвержденных Письмом Роскомторга от 10 июля 1996 года №1-794/32-5, определено, что порядок приемки товаров, документальное оформление приемки зависят, в частности: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от места приемки;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от характера приемки (по количеству, качеству, комплектности);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от степени соответствия договора поставки сопроводительным документам (наличие или отсутствие).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Приемка товаров по количеству и качеству предусматривает проверку соответствия фактического наличия товаров данным, содержащимся в транспортных, сопроводительных и (или) расчетных документах, а при приемке по качеству и комплектности – требованиям к качеству товаров, предусмотренных в договоре.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Получение товара оформляется по-разному - в зависимости от близости офиса к месту нахождения склада. Если склад фирмы-поставщика и офис находятся в одном месте, то оформление документов и выдача товаров происходит одновременно. Документом на отпуск товаров в данном случае является накладная.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Если склад фирмы-поставщика удален от офиса, то представителю торговой организации (материально-ответственному лицу) выдается документ на получение товара, по которому ему на складе будут отпущены материальные ценности. В случае отсутствия на складе товара в необходимом количестве, получателю выписывается новый документ – расходная накладная, в которой указывается фактически отпущенное количество товара. В </w:t>
      </w:r>
      <w:bookmarkStart w:id="8" w:name="_Hlk114463450"/>
      <w:r w:rsidRPr="00D10A27">
        <w:rPr>
          <w:rFonts w:ascii="Times New Roman" w:eastAsia="Times New Roman" w:hAnsi="Times New Roman"/>
          <w:sz w:val="28"/>
          <w:szCs w:val="28"/>
          <w:lang w:eastAsia="ru-RU"/>
        </w:rPr>
        <w:t>накладной указывается</w:t>
      </w:r>
      <w:bookmarkEnd w:id="8"/>
      <w:r w:rsidRPr="00D10A27">
        <w:rPr>
          <w:rFonts w:ascii="Times New Roman" w:eastAsia="Times New Roman" w:hAnsi="Times New Roman"/>
          <w:sz w:val="28"/>
          <w:szCs w:val="28"/>
          <w:lang w:eastAsia="ru-RU"/>
        </w:rPr>
        <w:t>:</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номер и дата выписки;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наименование поставщика и покупателя;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наименование и краткое описание товара;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количество товара;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цена и общая стоимость товара (с учетом НДС), налог на добавленную стоимость должен быть указан отдельной строкой.</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Накладная должна быть выписана в 4-х экземплярах, первые два остаются у поставщика (на складе и в бухгалтерии), оставшиеся два передаются покупателю (в бухгалтерию и материально-ответственному лицу). Накладная должна быть заверена печатями поставщика и получателя и подписями материально-ответственных лиц (один отпустил товар, другой – принял).</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Если товар находится в ненарушенной таре, то приемка может проводиться по количеству мест, массе брутто или по количеству товарных единиц и маркировке на таре. Если не проводится проверка фактического наличия товара в таре, то необходимо сделать отметку об этом в сопроводительном документе.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Если количество и качество товара соответствуют данным, указанным в товаросопроводительных документах, то на сопроводительные документы (накладная, товарно-транспортная накладная и другие документы, удостоверяющие количество или качество поступивших товаров) накладывается штамп организации-покупателя, что подтверждает соответствие принятых товаров данным, указанным в сопроводительных документах. Материально ответственное лицо, осуществляющее приемку товара, ставит свою подпись на товаросопроводительных документах и заверяет ее круглой печатью торговой организации.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Для оформления приемки товаров по качеству, количеству, массе и комплектности в соответствии с правилами приемки товаров и условиями договора применяется </w:t>
      </w:r>
      <w:bookmarkStart w:id="9" w:name="_Hlk95811228"/>
      <w:r w:rsidRPr="00D10A27">
        <w:rPr>
          <w:rFonts w:ascii="Times New Roman" w:eastAsia="Times New Roman" w:hAnsi="Times New Roman"/>
          <w:b/>
          <w:bCs/>
          <w:sz w:val="28"/>
          <w:szCs w:val="28"/>
          <w:lang w:eastAsia="ru-RU"/>
        </w:rPr>
        <w:t>Акт о приемке товаров (форма №ТОРГ-1)</w:t>
      </w:r>
      <w:r w:rsidRPr="00D10A27">
        <w:rPr>
          <w:rFonts w:ascii="Times New Roman" w:eastAsia="Times New Roman" w:hAnsi="Times New Roman"/>
          <w:sz w:val="28"/>
          <w:szCs w:val="28"/>
          <w:lang w:eastAsia="ru-RU"/>
        </w:rPr>
        <w:t xml:space="preserve">, </w:t>
      </w:r>
      <w:bookmarkEnd w:id="9"/>
      <w:r w:rsidRPr="00D10A27">
        <w:rPr>
          <w:rFonts w:ascii="Times New Roman" w:eastAsia="Times New Roman" w:hAnsi="Times New Roman"/>
          <w:sz w:val="28"/>
          <w:szCs w:val="28"/>
          <w:lang w:eastAsia="ru-RU"/>
        </w:rPr>
        <w:t>составляемый членами приемной комиссии, уполномоченными руководителем организации. Приемка товаров производится по фактическому наличию.</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Количество составляемых экземпляров акта и комплектность прилагаемых документов определяется в каждом конкретном случае.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Для оформления приемки товарно-материальных ценностей, имеющих количественные и качественные расхождения с данными сопроводительных документов поставщика, применяются следующие документы: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b/>
          <w:bCs/>
          <w:sz w:val="28"/>
          <w:szCs w:val="28"/>
          <w:lang w:eastAsia="ru-RU"/>
        </w:rPr>
        <w:t xml:space="preserve">- Акт об установленном расхождении по количеству и качеству при приемке товарно-материальных ценностей (форма №ТОРГ-2), </w:t>
      </w:r>
      <w:r w:rsidRPr="00D10A27">
        <w:rPr>
          <w:rFonts w:ascii="Times New Roman" w:eastAsia="Times New Roman" w:hAnsi="Times New Roman"/>
          <w:sz w:val="28"/>
          <w:szCs w:val="28"/>
          <w:lang w:eastAsia="ru-RU"/>
        </w:rPr>
        <w:t>составляемый на отечественные товары в четырех экземплярах;</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b/>
          <w:bCs/>
          <w:sz w:val="28"/>
          <w:szCs w:val="28"/>
          <w:lang w:eastAsia="ru-RU"/>
        </w:rPr>
        <w:t>- Акт об установленном расхождении по количеству и качеству при приемке импортных товаров (форма №ТОРГ-3)</w:t>
      </w:r>
      <w:r w:rsidRPr="00D10A27">
        <w:rPr>
          <w:rFonts w:ascii="Times New Roman" w:eastAsia="Times New Roman" w:hAnsi="Times New Roman"/>
          <w:sz w:val="28"/>
          <w:szCs w:val="28"/>
          <w:lang w:eastAsia="ru-RU"/>
        </w:rPr>
        <w:t>, составляемый на импортные товары в пяти экземплярах.</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b/>
          <w:bCs/>
          <w:sz w:val="28"/>
          <w:szCs w:val="28"/>
          <w:lang w:eastAsia="ru-RU"/>
        </w:rPr>
        <w:t>Обратите внимание!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Если в момент приемки товара выявлено несоответствие веса брутто весу, указанному в сопроводительных документах, покупатель не должен вскрывать тару и упаковку. Если при правильности веса брутто недостача товара установлена в ходе проверки веса нетто или количества товарных единиц в отдельных местах, то покупатель вправе приостановить приемку остального груза. Тару, упаковку вскрытых мест и товары, находившиеся в них, необходимо сохранить, а затем передать представителю организации отправителя.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bookmarkStart w:id="10" w:name="_Hlk95706539"/>
      <w:r w:rsidRPr="00D10A27">
        <w:rPr>
          <w:rFonts w:ascii="Times New Roman" w:eastAsia="Times New Roman" w:hAnsi="Times New Roman"/>
          <w:sz w:val="28"/>
          <w:szCs w:val="28"/>
          <w:lang w:eastAsia="ru-RU"/>
        </w:rPr>
        <w:t xml:space="preserve">То есть при обнаружении отклонений по количеству, качеству представитель </w:t>
      </w:r>
      <w:bookmarkEnd w:id="10"/>
      <w:r w:rsidRPr="00D10A27">
        <w:rPr>
          <w:rFonts w:ascii="Times New Roman" w:eastAsia="Times New Roman" w:hAnsi="Times New Roman"/>
          <w:sz w:val="28"/>
          <w:szCs w:val="28"/>
          <w:lang w:eastAsia="ru-RU"/>
        </w:rPr>
        <w:t>торговой организации обязан:</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приостановить приемку;</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обеспечить сохранность товара и принять все необходимые меры к предотвращению его смешения с другим однородным товаром;</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вызвать представителя поставщика для составления двустороннего акта.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Уведомление о вызове представителя отправителя (поставщика) должно быть направлено ему не позднее 24-х часов, а в случае несоответствия при приемке скоропортящихся товаров – немедленно.</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Для учета товарно-материальных ценностей в местах хранения товаров Постановлением №132 утвержден </w:t>
      </w:r>
      <w:r w:rsidRPr="00D10A27">
        <w:rPr>
          <w:rFonts w:ascii="Times New Roman" w:eastAsia="Times New Roman" w:hAnsi="Times New Roman"/>
          <w:b/>
          <w:bCs/>
          <w:sz w:val="28"/>
          <w:szCs w:val="28"/>
          <w:lang w:eastAsia="ru-RU"/>
        </w:rPr>
        <w:t>Товарный ярлык (форма №ТОРГ-11)</w:t>
      </w:r>
      <w:r w:rsidRPr="00D10A27">
        <w:rPr>
          <w:rFonts w:ascii="Times New Roman" w:eastAsia="Times New Roman" w:hAnsi="Times New Roman"/>
          <w:sz w:val="28"/>
          <w:szCs w:val="28"/>
          <w:lang w:eastAsia="ru-RU"/>
        </w:rPr>
        <w:t>, заполняемый материально ответственным лицом в одном экземпляре на каждое наименование товара с проставлением порядкового номера ярлыка. Товарный ярлык хранится вместе с товарно-материальными ценностями, его данные используют для заполнения инвентаризационной описи при проведении инвентаризации товарно-материальных ценностей.</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bookmarkStart w:id="11" w:name="_Toc146085850"/>
      <w:r w:rsidRPr="00D10A27">
        <w:rPr>
          <w:rFonts w:ascii="Times New Roman" w:eastAsia="Times New Roman" w:hAnsi="Times New Roman"/>
          <w:b/>
          <w:bCs/>
          <w:sz w:val="28"/>
          <w:szCs w:val="28"/>
          <w:lang w:eastAsia="ru-RU"/>
        </w:rPr>
        <w:t>Поступление объектов основных средств</w:t>
      </w:r>
      <w:bookmarkEnd w:id="11"/>
      <w:r w:rsidRPr="00D10A27">
        <w:rPr>
          <w:rFonts w:ascii="Times New Roman" w:eastAsia="Times New Roman" w:hAnsi="Times New Roman"/>
          <w:b/>
          <w:bCs/>
          <w:sz w:val="28"/>
          <w:szCs w:val="28"/>
          <w:lang w:eastAsia="ru-RU"/>
        </w:rPr>
        <w:t>.</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bookmarkStart w:id="12" w:name="_Hlk88982430"/>
      <w:r w:rsidRPr="00D10A27">
        <w:rPr>
          <w:rFonts w:ascii="Times New Roman" w:eastAsia="Times New Roman" w:hAnsi="Times New Roman"/>
          <w:sz w:val="28"/>
          <w:szCs w:val="28"/>
          <w:lang w:eastAsia="ru-RU"/>
        </w:rPr>
        <w:t xml:space="preserve">Основные средства </w:t>
      </w:r>
      <w:bookmarkEnd w:id="12"/>
      <w:r w:rsidRPr="00D10A27">
        <w:rPr>
          <w:rFonts w:ascii="Times New Roman" w:eastAsia="Times New Roman" w:hAnsi="Times New Roman"/>
          <w:sz w:val="28"/>
          <w:szCs w:val="28"/>
          <w:lang w:eastAsia="ru-RU"/>
        </w:rPr>
        <w:t>представляют собой материально-вещественные ценности, используемые в производственном процессе и с течением времени переносящие свою стоимость на продукцию, производимую с их помощью, путем начисления амортизационных начислений.</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Правила формирования в бухгалтерском учете организации информации об основных средствах установлены Положением по бухгалтерскому учету «Учет основных средств» ПБУ 6/01, утвержденным Приказом Министерства финансов Российской Федерации от 30 марта 2001 года №26н.</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 том случае, если на склад организации поступают объекты основных средств, то для их учета применяются иные формы первичной учетной документации.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Постановлением Госкомстата Российской Федерации от 21 января 2003 года №7 «Об утверждении унифицированных форм первичной учетной документации по учету основных средств» (далее - Постановление №7). Государственный комитет по статистике Российской Федерации утвердил унифицированные формы первичной учетной документации по учету основных средств.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bookmarkStart w:id="13" w:name="_Hlk114463469"/>
      <w:r w:rsidRPr="00D10A27">
        <w:rPr>
          <w:rFonts w:ascii="Times New Roman" w:eastAsia="Times New Roman" w:hAnsi="Times New Roman"/>
          <w:sz w:val="28"/>
          <w:szCs w:val="28"/>
          <w:lang w:eastAsia="ru-RU"/>
        </w:rPr>
        <w:t>Для включения объектов в состав основных средств и учета их ввода в эксплуатацию</w:t>
      </w:r>
      <w:bookmarkStart w:id="14" w:name="_Hlk88982606"/>
      <w:bookmarkEnd w:id="13"/>
      <w:r w:rsidRPr="00D10A27">
        <w:rPr>
          <w:rFonts w:ascii="Times New Roman" w:eastAsia="Times New Roman" w:hAnsi="Times New Roman"/>
          <w:sz w:val="28"/>
          <w:szCs w:val="28"/>
          <w:lang w:eastAsia="ru-RU"/>
        </w:rPr>
        <w:t xml:space="preserve"> предусмотрены, в частности, следующие документы</w:t>
      </w:r>
      <w:bookmarkEnd w:id="14"/>
      <w:r w:rsidRPr="00D10A27">
        <w:rPr>
          <w:rFonts w:ascii="Times New Roman" w:eastAsia="Times New Roman" w:hAnsi="Times New Roman"/>
          <w:sz w:val="28"/>
          <w:szCs w:val="28"/>
          <w:lang w:eastAsia="ru-RU"/>
        </w:rPr>
        <w:t>:</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   </w:t>
      </w:r>
      <w:r w:rsidRPr="00D10A27">
        <w:rPr>
          <w:rFonts w:ascii="Times New Roman" w:eastAsia="Times New Roman" w:hAnsi="Times New Roman"/>
          <w:b/>
          <w:bCs/>
          <w:sz w:val="28"/>
          <w:szCs w:val="28"/>
          <w:lang w:eastAsia="ru-RU"/>
        </w:rPr>
        <w:t>Акт о приеме-передаче объекта основных средств (кроме зданий, сооружений) (форма №ОС-1);</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   </w:t>
      </w:r>
      <w:r w:rsidRPr="00D10A27">
        <w:rPr>
          <w:rFonts w:ascii="Times New Roman" w:eastAsia="Times New Roman" w:hAnsi="Times New Roman"/>
          <w:b/>
          <w:bCs/>
          <w:sz w:val="28"/>
          <w:szCs w:val="28"/>
          <w:lang w:eastAsia="ru-RU"/>
        </w:rPr>
        <w:t>Акт о приеме-передаче групп объектов основных средств (кроме зданий, сооружений) (форма №ОС-1б).</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Акты утверждаются руководителями организации-получателя и организации-сдатчика и составляются в количестве не менее двух экземпляров. К акту должна быть приложена техническая документация, относящаяся к данному объекту основных средств.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bookmarkStart w:id="15" w:name="_Hlk88982619"/>
      <w:r w:rsidRPr="00D10A27">
        <w:rPr>
          <w:rFonts w:ascii="Times New Roman" w:eastAsia="Times New Roman" w:hAnsi="Times New Roman"/>
          <w:sz w:val="28"/>
          <w:szCs w:val="28"/>
          <w:lang w:eastAsia="ru-RU"/>
        </w:rPr>
        <w:t xml:space="preserve">Акт о приеме–передаче основных средств </w:t>
      </w:r>
      <w:bookmarkEnd w:id="15"/>
      <w:r w:rsidRPr="00D10A27">
        <w:rPr>
          <w:rFonts w:ascii="Times New Roman" w:eastAsia="Times New Roman" w:hAnsi="Times New Roman"/>
          <w:sz w:val="28"/>
          <w:szCs w:val="28"/>
          <w:lang w:eastAsia="ru-RU"/>
        </w:rPr>
        <w:t xml:space="preserve">состоит из трех разделов. </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Первый раздел заполняется на основании данных передающей стороны. Для объектов основных средств, бывших в эксплуатации, в нем указываются дата ввода в эксплуатацию, фактический срок полезного использования, сумма начисленной амортизации, остаточная стоимость объекта. В том случае, если объект основных средств приобретается через розничную сеть, этот раздел не заполняется.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Второй раздел заполняет организация – получатель основного средства только в своем экземпляре и указывает в нем первоначальную стоимость объекта, срок полезного использования, установленный организацией, способ начисления амортизации, норму амортизационных отчислений.</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Третий раздел содержит краткую характеристику объекта основных средств.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 акте предусмотрен раздел для отражения данных об объекте основных средств, находящемся в собственности двух или нескольких организаций. Такие данные записываются соразмерно доле организации в праве общей собственности, при этом на первой странице в раздел «Справочно» заносятся сведения об участниках долевой собственности с указанием их доли в праве общей собственности. Если стоимость приобретения объекта основных средств была выражена в иностранной валюте, в этом разделе указываются сведения о наименовании иностранной валюты, ее сумме по курсу Центрального банка Российской Федерации на дату, выбранную в соответствии с требованиями, действующими в системе бухгалтерского учета.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Данные приема объекта в состав основных средств являются основанием для заполнения следующих первичных документов по учету основных средств: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   </w:t>
      </w:r>
      <w:r w:rsidRPr="00D10A27">
        <w:rPr>
          <w:rFonts w:ascii="Times New Roman" w:eastAsia="Times New Roman" w:hAnsi="Times New Roman"/>
          <w:b/>
          <w:bCs/>
          <w:sz w:val="28"/>
          <w:szCs w:val="28"/>
          <w:lang w:eastAsia="ru-RU"/>
        </w:rPr>
        <w:t>Инвентарная карточка учета объектов основных средств (форма №ОС-6);</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   </w:t>
      </w:r>
      <w:r w:rsidRPr="00D10A27">
        <w:rPr>
          <w:rFonts w:ascii="Times New Roman" w:eastAsia="Times New Roman" w:hAnsi="Times New Roman"/>
          <w:b/>
          <w:bCs/>
          <w:sz w:val="28"/>
          <w:szCs w:val="28"/>
          <w:lang w:eastAsia="ru-RU"/>
        </w:rPr>
        <w:t>Инвентарная карточка группового учета объектов основных средств (форма №ОС-6а);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   </w:t>
      </w:r>
      <w:r w:rsidRPr="00D10A27">
        <w:rPr>
          <w:rFonts w:ascii="Times New Roman" w:eastAsia="Times New Roman" w:hAnsi="Times New Roman"/>
          <w:b/>
          <w:bCs/>
          <w:sz w:val="28"/>
          <w:szCs w:val="28"/>
          <w:lang w:eastAsia="ru-RU"/>
        </w:rPr>
        <w:t>Инвентарная книга учета объектов основных средств (форма №ОС-6б).</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Следует </w:t>
      </w:r>
      <w:r w:rsidRPr="00D10A27">
        <w:rPr>
          <w:rFonts w:ascii="Times New Roman" w:eastAsia="Times New Roman" w:hAnsi="Times New Roman"/>
          <w:b/>
          <w:bCs/>
          <w:sz w:val="28"/>
          <w:szCs w:val="28"/>
          <w:lang w:eastAsia="ru-RU"/>
        </w:rPr>
        <w:t>обратить внимание</w:t>
      </w:r>
      <w:r w:rsidRPr="00D10A27">
        <w:rPr>
          <w:rFonts w:ascii="Times New Roman" w:eastAsia="Times New Roman" w:hAnsi="Times New Roman"/>
          <w:sz w:val="28"/>
          <w:szCs w:val="28"/>
          <w:lang w:eastAsia="ru-RU"/>
        </w:rPr>
        <w:t>, что на практике может возникнуть ситуация, когда ни одна из вышеперечисленных унифицированных форм не подходит. В качестве примера можно привести ситуацию, когда к организации-лизингополучателю по договору лизинга поступает основное средство, учет которого ведется на балансе лизингодателя. Поступление такого основного средства нельзя оформить ни одной из унифицированных форм по учету основных средств. Не подходит для этих целей и Акт приемки-передачи по форме №ОС-1, поскольку, выписав такой акт, организация должна принять к учету основное средство по счету 01 «Основные средства» и поставить его на баланс, но учет основного средства осуществляется лизингодателем. В данном случае, приемку основного средства, полученного по договору лизинга, следует осуществить на основании документа, составленного в произвольной форме с указанием в нем всех необходимых реквизитов, предусмотренных статьей 9 Федерального закона №129-ФЗ.</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Учет оборудования, поступившего на склад, с целью его последующего использования в качестве объекта основных средств, оформляется </w:t>
      </w:r>
      <w:r w:rsidRPr="00D10A27">
        <w:rPr>
          <w:rFonts w:ascii="Times New Roman" w:eastAsia="Times New Roman" w:hAnsi="Times New Roman"/>
          <w:b/>
          <w:bCs/>
          <w:sz w:val="28"/>
          <w:szCs w:val="28"/>
          <w:lang w:eastAsia="ru-RU"/>
        </w:rPr>
        <w:t>Актом о приеме (поступлении) оборудования (форма №ОС-14)</w:t>
      </w:r>
      <w:r w:rsidRPr="00D10A27">
        <w:rPr>
          <w:rFonts w:ascii="Times New Roman" w:eastAsia="Times New Roman" w:hAnsi="Times New Roman"/>
          <w:sz w:val="28"/>
          <w:szCs w:val="28"/>
          <w:lang w:eastAsia="ru-RU"/>
        </w:rPr>
        <w:t>. Акт составляется в двух экземплярах комиссией, уполномоченной на прием основных средств, и утверждается руководителем или уполномоченным им лицом.</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 том случае, если при поступлении на склад невозможно провести качественную приемку оборудования, акт составляется по наружному осмотру и является предварительным.</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Качественные и количественные расхождения с документальными данными организаций, поставивших оборудование, а также факты боя и лома отражаются в соответствующих актах в установленном порядке.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Передача оборудования в монтаж оформляется </w:t>
      </w:r>
      <w:r w:rsidRPr="00D10A27">
        <w:rPr>
          <w:rFonts w:ascii="Times New Roman" w:eastAsia="Times New Roman" w:hAnsi="Times New Roman"/>
          <w:b/>
          <w:bCs/>
          <w:sz w:val="28"/>
          <w:szCs w:val="28"/>
          <w:lang w:eastAsia="ru-RU"/>
        </w:rPr>
        <w:t>Актом о приеме-передаче оборудования в монтаж (форма №ОС-15)</w:t>
      </w:r>
      <w:r w:rsidRPr="00D10A27">
        <w:rPr>
          <w:rFonts w:ascii="Times New Roman" w:eastAsia="Times New Roman" w:hAnsi="Times New Roman"/>
          <w:sz w:val="28"/>
          <w:szCs w:val="28"/>
          <w:lang w:eastAsia="ru-RU"/>
        </w:rPr>
        <w:t>. Если монтажные работы проводятся подрядным способом, в состав приемочной комиссии входит представитель подрядной монтажной организации. В этом случае, отдельный акт на передачу оборудования в монтаж (форма №ОС-15) не составляется. В получении оборудования на ответственное хранение уполномоченный представитель монтажной организации расписывается непосредственно в акте, и ему передается копия акта.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На дефекты оборудования, выявленные в процессе монтажа, наладки или испытания, а также по результатам контроля, составляется </w:t>
      </w:r>
      <w:r w:rsidRPr="00D10A27">
        <w:rPr>
          <w:rFonts w:ascii="Times New Roman" w:eastAsia="Times New Roman" w:hAnsi="Times New Roman"/>
          <w:b/>
          <w:bCs/>
          <w:sz w:val="28"/>
          <w:szCs w:val="28"/>
          <w:lang w:eastAsia="ru-RU"/>
        </w:rPr>
        <w:t>Акт о выявленных дефектах оборудования (форма №ОС-16)</w:t>
      </w:r>
      <w:r w:rsidRPr="00D10A27">
        <w:rPr>
          <w:rFonts w:ascii="Times New Roman" w:eastAsia="Times New Roman" w:hAnsi="Times New Roman"/>
          <w:sz w:val="28"/>
          <w:szCs w:val="28"/>
          <w:lang w:eastAsia="ru-RU"/>
        </w:rPr>
        <w:t>.</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Зачисление смонтированного и готового к эксплуатации оборудования в состав основных средств организации оформляется по формам №ОС-1 или №ОС-1б.</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b/>
          <w:bCs/>
          <w:sz w:val="28"/>
          <w:szCs w:val="28"/>
          <w:lang w:eastAsia="ru-RU"/>
        </w:rPr>
        <w:t>Более подробно с вопросами, касающимися учета основных средств, Вы можете ознакомиться в книге авторов ЗАО «BKR-ИНТЕРКОМ-АУДИТ» «Основные средства».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bookmarkStart w:id="16" w:name="_Toc146085851"/>
      <w:r w:rsidRPr="00D10A27">
        <w:rPr>
          <w:rFonts w:ascii="Times New Roman" w:eastAsia="Times New Roman" w:hAnsi="Times New Roman"/>
          <w:b/>
          <w:bCs/>
          <w:sz w:val="28"/>
          <w:szCs w:val="28"/>
          <w:lang w:eastAsia="ru-RU"/>
        </w:rPr>
        <w:t>Внутреннее перемещение материальных ценностей</w:t>
      </w:r>
      <w:bookmarkEnd w:id="16"/>
      <w:r w:rsidRPr="00D10A27">
        <w:rPr>
          <w:rFonts w:ascii="Times New Roman" w:eastAsia="Times New Roman" w:hAnsi="Times New Roman"/>
          <w:b/>
          <w:bCs/>
          <w:sz w:val="28"/>
          <w:szCs w:val="28"/>
          <w:lang w:eastAsia="ru-RU"/>
        </w:rPr>
        <w:t>.</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В процессе осуществления хозяйственной деятельности материальные ценности поступают на склады и в кладовые не только от поставщиков. Осуществляется также их внутреннее перемещение из подразделений организации в кладовые и на склады. Пунктом 57 Методических указаний №119н установлено, </w:t>
      </w:r>
      <w:bookmarkStart w:id="17" w:name="_Hlk114464143"/>
      <w:r w:rsidRPr="00D10A27">
        <w:rPr>
          <w:rFonts w:ascii="Times New Roman" w:eastAsia="Times New Roman" w:hAnsi="Times New Roman"/>
          <w:sz w:val="28"/>
          <w:szCs w:val="28"/>
          <w:lang w:eastAsia="ru-RU"/>
        </w:rPr>
        <w:t>что сдача подразделениями материалов на склады должна оформляться накладными на внутреннее перемещение материалов в случаях когда:</w:t>
      </w:r>
      <w:bookmarkEnd w:id="17"/>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продукция, изготовленная подразделениями организации, используется для внутреннего потребления в организации или для дальнейшей переработки;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осуществляется возврат материалов подразделениями организации на склад или цеховую кладовую;</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производится сдача отходов производства продукции (выполнения работ), а также сдача брака;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осуществляется сдача материалов, полученных от ликвидации (разборки) основных средств;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других аналогичных случаях.</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Операции по передаче материалов из одного подразделения организации в другое оформляются также накладными на внутреннее перемещение материалов.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Постановлением №71а для этих целей разработана </w:t>
      </w:r>
      <w:bookmarkStart w:id="18" w:name="_Hlk114464158"/>
      <w:r w:rsidRPr="00D10A27">
        <w:rPr>
          <w:rFonts w:ascii="Times New Roman" w:eastAsia="Times New Roman" w:hAnsi="Times New Roman"/>
          <w:b/>
          <w:bCs/>
          <w:sz w:val="28"/>
          <w:szCs w:val="28"/>
          <w:lang w:eastAsia="ru-RU"/>
        </w:rPr>
        <w:t>форма №М-11 «Требование-накладная»</w:t>
      </w:r>
      <w:bookmarkEnd w:id="18"/>
      <w:r w:rsidRPr="00D10A27">
        <w:rPr>
          <w:rFonts w:ascii="Times New Roman" w:eastAsia="Times New Roman" w:hAnsi="Times New Roman"/>
          <w:b/>
          <w:bCs/>
          <w:sz w:val="28"/>
          <w:szCs w:val="28"/>
          <w:lang w:eastAsia="ru-RU"/>
        </w:rPr>
        <w:t xml:space="preserve">, </w:t>
      </w:r>
      <w:r w:rsidRPr="00D10A27">
        <w:rPr>
          <w:rFonts w:ascii="Times New Roman" w:eastAsia="Times New Roman" w:hAnsi="Times New Roman"/>
          <w:sz w:val="28"/>
          <w:szCs w:val="28"/>
          <w:lang w:eastAsia="ru-RU"/>
        </w:rPr>
        <w:t>применяемая</w:t>
      </w:r>
      <w:r w:rsidRPr="00D10A27">
        <w:rPr>
          <w:rFonts w:ascii="Times New Roman" w:eastAsia="Times New Roman" w:hAnsi="Times New Roman"/>
          <w:b/>
          <w:bCs/>
          <w:sz w:val="28"/>
          <w:szCs w:val="28"/>
          <w:lang w:eastAsia="ru-RU"/>
        </w:rPr>
        <w:t xml:space="preserve"> </w:t>
      </w:r>
      <w:r w:rsidRPr="00D10A27">
        <w:rPr>
          <w:rFonts w:ascii="Times New Roman" w:eastAsia="Times New Roman" w:hAnsi="Times New Roman"/>
          <w:sz w:val="28"/>
          <w:szCs w:val="28"/>
          <w:lang w:eastAsia="ru-RU"/>
        </w:rPr>
        <w:t>в тех случаях, когда материальные ценности перемещаются между структурными подразделениями организации или между материально ответственными лицами.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Накладная составляется материально ответственным лицом того структурного подразделения, которое сдает материальные ценности. Один из двух составленных экземпляров накладной служит основанием сдающему складу для списания ценностей, на основании второго экземпляра принимающий склад принимает эти ценности к учету. Накладная подписывается материально ответственными лицами и сдающего, и принимающего подразделения и сдается в бухгалтерию для учета движения материалов.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Следует обратить внимание, что этими же накладными оформляется сдача на склад полученных по требованию и неизрасходованных материалов, а также сдача отходов и брака.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Пунктом 90 Методических указаний №119н определено, что как внутреннее перемещение материалов рассматривается и их отпуск на склады (в кладовые) подразделений организации и на строительные площадки.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 том случае, когда отпуск материалов подразделениям осуществляется без указания назначения использования материалов, такой отпуск также учитывается как внутреннее перемещение, а материалы считаются выданными в подотчет получившему их подразделению. Подразделение, получившее материалы, на фактически израсходованное количество материалов составляет акт расхода. Конкретный порядок составления акта расхода, а также перечень подразделений, которые могут его применять, устанавливается организацией. В данном акте должны быть отражены: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наименование полученных материалов;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количество, учетная цена и сумма по каждому наименованию;</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номер и (или) наименование заказа, изделия, продукции, на изготовление которого материалы израсходованы;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количество изготовленной продукции либо объемы выполненных работ.</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Составленный акт является основанием для списания материалов с подотчета получившего их подразделения.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В случае движения товаров между структурными подразделениями или материально ответственными лицами организации в соответствии с Постановлением №132 оформляется </w:t>
      </w:r>
      <w:bookmarkStart w:id="19" w:name="_Hlk114464177"/>
      <w:r w:rsidRPr="00D10A27">
        <w:rPr>
          <w:rFonts w:ascii="Times New Roman" w:eastAsia="Times New Roman" w:hAnsi="Times New Roman"/>
          <w:b/>
          <w:bCs/>
          <w:sz w:val="28"/>
          <w:szCs w:val="28"/>
          <w:lang w:eastAsia="ru-RU"/>
        </w:rPr>
        <w:t>Накладная на внутреннее перемещение, передачу товаров, тары (форма №ТОРГ-13)</w:t>
      </w:r>
      <w:bookmarkEnd w:id="19"/>
      <w:r w:rsidRPr="00D10A27">
        <w:rPr>
          <w:rFonts w:ascii="Times New Roman" w:eastAsia="Times New Roman" w:hAnsi="Times New Roman"/>
          <w:b/>
          <w:bCs/>
          <w:sz w:val="28"/>
          <w:szCs w:val="28"/>
          <w:lang w:eastAsia="ru-RU"/>
        </w:rPr>
        <w:t>,</w:t>
      </w:r>
      <w:r w:rsidRPr="00D10A27">
        <w:rPr>
          <w:rFonts w:ascii="Times New Roman" w:eastAsia="Times New Roman" w:hAnsi="Times New Roman"/>
          <w:sz w:val="28"/>
          <w:szCs w:val="28"/>
          <w:lang w:eastAsia="ru-RU"/>
        </w:rPr>
        <w:t xml:space="preserve"> составляемая в двух экземплярах материально ответственным лицом склада или подразделения, сдающего товарно-материальные ценности. Первый экземпляр накладной остается в сдающем подразделении и служит для списания товарно-материальных ценностей, второй передается в подразделение, принимающее ценности и служит для принятия их к учету.</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Накладная подписывается материально ответственными лицами сдатчика и получателя и сдается в бухгалтерию организации для учета движения товарно-материальных ценностей.</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Внутри организации из одного структурного подразделения в другое перемещаются не только материалы, товары, но и объекты основных средств. Для оформления и учета таких перемещений применяется </w:t>
      </w:r>
      <w:bookmarkStart w:id="20" w:name="_Hlk114464187"/>
      <w:r w:rsidRPr="00D10A27">
        <w:rPr>
          <w:rFonts w:ascii="Times New Roman" w:eastAsia="Times New Roman" w:hAnsi="Times New Roman"/>
          <w:b/>
          <w:bCs/>
          <w:sz w:val="28"/>
          <w:szCs w:val="28"/>
          <w:lang w:eastAsia="ru-RU"/>
        </w:rPr>
        <w:t>Накладная на внутреннее перемещение объектов основных средств формы №ОС-2</w:t>
      </w:r>
      <w:r w:rsidRPr="00D10A27">
        <w:rPr>
          <w:rFonts w:ascii="Times New Roman" w:eastAsia="Times New Roman" w:hAnsi="Times New Roman"/>
          <w:sz w:val="28"/>
          <w:szCs w:val="28"/>
          <w:lang w:eastAsia="ru-RU"/>
        </w:rPr>
        <w:t>,</w:t>
      </w:r>
      <w:bookmarkEnd w:id="20"/>
      <w:r w:rsidRPr="00D10A27">
        <w:rPr>
          <w:rFonts w:ascii="Times New Roman" w:eastAsia="Times New Roman" w:hAnsi="Times New Roman"/>
          <w:sz w:val="28"/>
          <w:szCs w:val="28"/>
          <w:lang w:eastAsia="ru-RU"/>
        </w:rPr>
        <w:t xml:space="preserve"> утвержденная Постановлением №7.</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Накладная выписывается передающим подразделением в трех экземплярах, подписывается ответственными лицами структурных подразделений получателя и сдатчика. Первый экземпляр передается в бухгалтерию, второй - остается у материально-ответственного лица подразделения, передающего основное средство, а третий экземпляр передается в подразделение, получающее основное средство.</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Данные о перемещении объектов основных средств вносятся в инвентарную карточку либо книгу учета объектов основных средств (формы №ОС-6, №ОС-6а, №ОС-6б).</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bookmarkStart w:id="21" w:name="_Toc146085852"/>
      <w:r w:rsidRPr="00D10A27">
        <w:rPr>
          <w:rFonts w:ascii="Times New Roman" w:eastAsia="Times New Roman" w:hAnsi="Times New Roman"/>
          <w:b/>
          <w:bCs/>
          <w:sz w:val="28"/>
          <w:szCs w:val="28"/>
          <w:lang w:eastAsia="ru-RU"/>
        </w:rPr>
        <w:t>Выдача материальных ценностей со склада</w:t>
      </w:r>
      <w:bookmarkEnd w:id="21"/>
      <w:r w:rsidRPr="00D10A27">
        <w:rPr>
          <w:rFonts w:ascii="Times New Roman" w:eastAsia="Times New Roman" w:hAnsi="Times New Roman"/>
          <w:b/>
          <w:bCs/>
          <w:sz w:val="28"/>
          <w:szCs w:val="28"/>
          <w:lang w:eastAsia="ru-RU"/>
        </w:rPr>
        <w:t>.</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Материальные ценности могут выдаваться со склада в производство, а также в случае их продажи и выбытия по иным причинам.</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Отпуск материала в производство – это выдача материалов со склада, кладовой непосредственно для изготовления продукции, выполнения работ и оказания услуг, а также для управленческих нужд организации.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 зависимости от того, как организована структура складского хозяйства, материалы отпускаются в соответствии с установленными нормами и в соответствующих единицах измерения следующим образом:</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либо на склады подразделений организации и уже оттуда непосредственно в производство – на участки, в бригады и на рабочие места;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либо непосредственно в подразделения, если в них отсутствуют склады.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b/>
          <w:bCs/>
          <w:sz w:val="28"/>
          <w:szCs w:val="28"/>
          <w:lang w:eastAsia="ru-RU"/>
        </w:rPr>
        <w:t>Обратите внимание!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Кладовщики отпускают материалы со склада строго определенным работникам. Списки лиц, которые имеют право на получение материалов со складов, а также образцы их подписей, должны быть согласованы с главным бухгалтером организации и доведены до сведения материально-ответственных лиц, осуществляющих отпуск материалов.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Отпуск материалов в производство со складов подразделений непосредственно на участки, в бригады и на рабочие места производится в порядке, который устанавливается руководителем подразделения.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Рассмотрим, какими первичными документами оформляется выдача материалов со склада.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Выше мы отметили, что выдача материалов производится в соответствии с установленными нормами, то есть отпуск материалов в производство должен производится на основе предварительно установленных лимитов. Такие лимиты устанавливаются на основе норм расхода материалов и производственных программ, разработанных в организации.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Для оформления отпуска материалов по утвержденным лимитам применяется </w:t>
      </w:r>
      <w:bookmarkStart w:id="22" w:name="_Hlk114464198"/>
      <w:r w:rsidRPr="00D10A27">
        <w:rPr>
          <w:rFonts w:ascii="Times New Roman" w:eastAsia="Times New Roman" w:hAnsi="Times New Roman"/>
          <w:b/>
          <w:bCs/>
          <w:sz w:val="28"/>
          <w:szCs w:val="28"/>
          <w:lang w:eastAsia="ru-RU"/>
        </w:rPr>
        <w:t>Лимитно-заборная карта (форма №М-8)</w:t>
      </w:r>
      <w:r w:rsidRPr="00D10A27">
        <w:rPr>
          <w:rFonts w:ascii="Times New Roman" w:eastAsia="Times New Roman" w:hAnsi="Times New Roman"/>
          <w:sz w:val="28"/>
          <w:szCs w:val="28"/>
          <w:lang w:eastAsia="ru-RU"/>
        </w:rPr>
        <w:t>.</w:t>
      </w:r>
      <w:bookmarkEnd w:id="22"/>
      <w:r w:rsidRPr="00D10A27">
        <w:rPr>
          <w:rFonts w:ascii="Times New Roman" w:eastAsia="Times New Roman" w:hAnsi="Times New Roman"/>
          <w:sz w:val="28"/>
          <w:szCs w:val="28"/>
          <w:lang w:eastAsia="ru-RU"/>
        </w:rPr>
        <w:t xml:space="preserve"> Данный документ применяется также для текущего контроля соблюдения установленных лимитов отпуска материалов, а также является оправдательным документом для списания материальных ценностей со склада. Выписку лимитно-заборной карты производят подразделения организации, на которые возложены функции снабжения или планирования.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На каждое наименование материала выписывается два экземпляра документа, один из которых до начала месяца передается структурному подразделению, а другой – складу. Как правило, лимитно-заборная карта выписывается на месяц, но если движение материалов в организации невелико, то этот документ может быть выписан и на квартал. На каждый склад выписывается отдельная лимитно-заборная карта.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При выдаче материалов кладовщик отмечает в обоих экземплярах документа дату и количество отпущенных материалов и выводит остаток лимита по номенклатурному номеру материала. В лимитно-заборной карте получателя расписывается кладовщик, а в лимитно-заборной карте склада – получатель.</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После использования лимита заведующий складом или кладовщик сдает лимитно - заборные карты в бухгалтерию. Независимо от того, использован лимит или нет, в начале месяца все лимитно-заборные карты за прошлый месяц должны быть сданы. Если карта была выдана на квартал, она должна быть сдана в начале следующего квартала.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Перед сдачей складских экземпляров лимитно-заборных карт производится сверка содержащихся в них данных с данными экземпляров карт, которые находятся у получателей материальных ценностей. Проведенная сверка подтверждается подписями заведующего складом (кладовщика) и ответственного лица подразделения, получавшего материалы.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Для сокращения количества первичных документов рекомендуется оформлять отпуск материалов в </w:t>
      </w:r>
      <w:bookmarkStart w:id="23" w:name="_Hlk114464216"/>
      <w:r w:rsidRPr="00D10A27">
        <w:rPr>
          <w:rFonts w:ascii="Times New Roman" w:eastAsia="Times New Roman" w:hAnsi="Times New Roman"/>
          <w:b/>
          <w:bCs/>
          <w:sz w:val="28"/>
          <w:szCs w:val="28"/>
          <w:lang w:eastAsia="ru-RU"/>
        </w:rPr>
        <w:t>Карточках учета материалов (форма №М-17)</w:t>
      </w:r>
      <w:bookmarkEnd w:id="23"/>
      <w:r w:rsidRPr="00D10A27">
        <w:rPr>
          <w:rFonts w:ascii="Times New Roman" w:eastAsia="Times New Roman" w:hAnsi="Times New Roman"/>
          <w:sz w:val="28"/>
          <w:szCs w:val="28"/>
          <w:lang w:eastAsia="ru-RU"/>
        </w:rPr>
        <w:t>. Лимитно-заборная карта выписывается в таком случае в одном экземпляре и на ее основании проводится операция отпуска материалов. Кладовщик расписывается в лимитно-заборной карте, а получатель материалов – в карточке учета материалов.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При оформлении отпуска материалов без оформления расходных документов, карточки складского учета в конце каждого месяца сдаются в бухгалтерию по реестру. На основании карточек работники бухгалтерской службы составляют соответствующие учетные регистры, после чего карточки складского учета возвращаются на склад.</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Учет возврата материалов, не использованных в производстве, ведется в этой же форме, причем никаких дополнительных документов при этом не составляется.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 случае необходимости с разрешения руководителя организации, главного инженера или иных уполномоченных лиц допускается сверхлимитный отпуск материалов, а также замена одних видов материалов другими. Если материалы выданы сверх лимита, в первичных документах делается надпись «Сверх лимита».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Как правило, в крупных организациях осуществляется централизованная доставка материалов со складов организации на склады подразделений и непосредственно на участки и рабочие места подразделений. В этом случае составляется специальный оперативный документ на отпуск – «план – карта». В нем отражаются установленные лимиты и календарные сроки подачи материалов в подразделения. Форма план - карты не предусмотрена альбомами унифицированных форм первичных учетных документов и должна быть разработана организацией самостоятельно. Работник склада на основе этого документа выписывает накладную на отпуск материалов в пределах установленного лимита. В данном случае может применяться требование – накладная (форма №М-11), накладная (форма №М-15).</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Во всех первичных учетных документах на отпуск материалов со складов и кладовых в подразделения организации должны быть указаны:</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наименование материала;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количество материала, его цена и общая сумма;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назначение материала (наименование заказа, изделия, продукции, для изготовления которого отпускаются материалы, либо наименование затрат).</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Отпуск материалов со склада организации в случае их продажи производится складскими работниками на основании </w:t>
      </w:r>
      <w:bookmarkStart w:id="24" w:name="_Hlk114464233"/>
      <w:r w:rsidRPr="00D10A27">
        <w:rPr>
          <w:rFonts w:ascii="Times New Roman" w:eastAsia="Times New Roman" w:hAnsi="Times New Roman"/>
          <w:b/>
          <w:bCs/>
          <w:sz w:val="28"/>
          <w:szCs w:val="28"/>
          <w:lang w:eastAsia="ru-RU"/>
        </w:rPr>
        <w:t>Накладной на отпуск материалов на сторону (форма №М-15)</w:t>
      </w:r>
      <w:bookmarkEnd w:id="24"/>
      <w:r w:rsidRPr="00D10A27">
        <w:rPr>
          <w:rFonts w:ascii="Times New Roman" w:eastAsia="Times New Roman" w:hAnsi="Times New Roman"/>
          <w:sz w:val="28"/>
          <w:szCs w:val="28"/>
          <w:lang w:eastAsia="ru-RU"/>
        </w:rPr>
        <w:t>. Данная форма применяется для учета отпуска материальных ценностей:</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сторонним организациям на основании договоров и других документов;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хозяйствам своей организации, расположенным за пределами ее территории.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Первый экземпляр накладной передают складу для отпуска материалов, а второй экземпляр – получателю материалов.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Основным документом, применяемым для оформления продажи (отпуска) товарно-материальных ценностей организацией торговли сторонней организации является </w:t>
      </w:r>
      <w:r w:rsidRPr="00D10A27">
        <w:rPr>
          <w:rFonts w:ascii="Times New Roman" w:eastAsia="Times New Roman" w:hAnsi="Times New Roman"/>
          <w:b/>
          <w:bCs/>
          <w:sz w:val="28"/>
          <w:szCs w:val="28"/>
          <w:lang w:eastAsia="ru-RU"/>
        </w:rPr>
        <w:t>Товарная накладная (форма №ТОРГ-12)</w:t>
      </w:r>
      <w:r w:rsidRPr="00D10A27">
        <w:rPr>
          <w:rFonts w:ascii="Times New Roman" w:eastAsia="Times New Roman" w:hAnsi="Times New Roman"/>
          <w:sz w:val="28"/>
          <w:szCs w:val="28"/>
          <w:lang w:eastAsia="ru-RU"/>
        </w:rPr>
        <w:t>, утвержденная Постановлением №132 и составляемая в двух экземплярах. Первый остается в организации, сдающей товарно-материальные ценности, и на его основании производится их списание. Второй экземпляр передается сторонней организации и является основанием для принятия товарно-материальных ценностей к учету.</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При перевозке грузов автотранспортом оформляется Товарно-транспортная накладная (форма №1-Т), утвержденная Постановлением Госкомстата Российской Федерации от 28 ноября 1997 года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Порядок оформления товарно-транспортной накладной установлен еще совместной Инструкцией Минфина СССР №156, Госбанка СССР №30, ЦСУ СССР №354/7 и Минавтотранса РСФСР №10/998 от 30 ноября 1983 года «О порядке расчетов за перевозки грузов автомобильным транспортом».</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Согласно пункту 5 данной Инструкции грузоотправитель не вправе передавать, а автотранспортная организация принимать к перевозке грузы, которые не оформлены товарно-транспортными накладными. Это касается всех перевозок, выполненных грузовым автотранспортом независимо от условий оплаты за его работу.</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Следует помнить, что товарно-транспортная накладная согласно пункту 6 Инструкции является единственным документом, служащим для списания товарно-материальных ценностей у грузоотправителей и принятия их к учету у грузополучателей, а также для складского, оперативного и бухгалтерского учета.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Товарно-транспортная накладная (далее по тексту ТТН) составляется в четырех экземплярах, но по соглашению автотранспортной организации и грузоотправителя может быть составлена и в пяти экземплярах. Каждый экземпляр ТТН должен быть заверен подписью, печатью или штампом грузоотправителя.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bookmarkStart w:id="25" w:name="_Hlk114464248"/>
      <w:r w:rsidRPr="00D10A27">
        <w:rPr>
          <w:rFonts w:ascii="Times New Roman" w:eastAsia="Times New Roman" w:hAnsi="Times New Roman"/>
          <w:sz w:val="28"/>
          <w:szCs w:val="28"/>
          <w:lang w:eastAsia="ru-RU"/>
        </w:rPr>
        <w:t>ТТН составляется отправителем груза на имя каждого грузополучателя отдельно на каждую поездку автомобиля с обязательным заполнением следующих реквизитов</w:t>
      </w:r>
      <w:bookmarkEnd w:id="25"/>
      <w:r w:rsidRPr="00D10A27">
        <w:rPr>
          <w:rFonts w:ascii="Times New Roman" w:eastAsia="Times New Roman" w:hAnsi="Times New Roman"/>
          <w:sz w:val="28"/>
          <w:szCs w:val="28"/>
          <w:lang w:eastAsia="ru-RU"/>
        </w:rPr>
        <w:t>:</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наименование получателя груза;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наименование груза;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количество, вес перевозимого груза, способ определения веса;</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род упаковки;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способ погрузки и разгрузки;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ü   время подачи автомобиля под погрузку и время окончания погрузки.</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 тех случаях, когда в ТТН «Сведения о грузе» нет возможности перечислить все наименования и характеристики отпускаемых товарно-материальных ценностей, к ней следует приложить накладную по форме №ТОРГ-12.</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 этих случаях в ТТН указывается, что в качестве товарного раздела приложена специализированная форма, без которой ТТН считается недействительной и не должна применяться для расчетов с грузоотправителями и грузополучателями, а также для учета выполненных объемов перевозок и начисления заработной платы водителю.</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Если на одном автомобиле перевозятся грузы нескольким получателям, то ТТН выписывается на каждую партию груза каждому получателю отдельно.</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Как правило, ТТН оформляется грузоотправителем, но соглашением может быть предусмотрено оформление ТТН и автотранспортной организацией, осуществляющей перевозку грузов.</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Если же накладная оформлена грузоотправителем, то автотранспортные организации имеют право проверять сведения, указанные в ТТН, а грузоотправитель и грузополучатель несут ответственность за последствия неправильного, неточного и неполного отражения сведений в ТТН.</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Прием грузов к перевозке подтверждается подписью шофера-экспедитора во всех экземплярах ТТН, при этом грузоотправитель не имеет права требовать, чтобы шофер принял груз по каким-либо другим документам, кроме ТТН.</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Первый экземпляр остается у грузоотправителя и предназначается для списания товарно-материальных ценностей.</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Второй, третий и четвертый экземпляры ТТН вручаются шоферу, из них:</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второй экземпляр сдается грузополучателю и предназначается для принятия к учету товарно-материальных ценностей;</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третий экземпляр прилагается к счету за перевозку и служит основанием для расчета автотранспортного предприятия с грузоотправителем (грузополучателем);</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 xml:space="preserve">четвертый экземпляр прилагается к путевому листу и служит основанием для учета транспортной работы. </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При сдаче груза шофер предъявляет три экземпляра ТТН грузополучателю, который удостоверяет в накладной прием груза своей подписью и печатью (штампом), одновременно указав во всех экземплярах время прибытия и убытия автомобиля.</w:t>
      </w:r>
    </w:p>
    <w:p w:rsidR="00593BD7" w:rsidRPr="00D10A27" w:rsidRDefault="00593BD7" w:rsidP="00D10A27">
      <w:pPr>
        <w:spacing w:before="100" w:beforeAutospacing="1" w:after="100" w:afterAutospacing="1" w:line="240" w:lineRule="auto"/>
        <w:contextualSpacing/>
        <w:jc w:val="both"/>
        <w:rPr>
          <w:rFonts w:ascii="Times New Roman" w:eastAsia="Times New Roman" w:hAnsi="Times New Roman"/>
          <w:sz w:val="28"/>
          <w:szCs w:val="28"/>
          <w:lang w:eastAsia="ru-RU"/>
        </w:rPr>
      </w:pPr>
      <w:r w:rsidRPr="00D10A27">
        <w:rPr>
          <w:rFonts w:ascii="Times New Roman" w:eastAsia="Times New Roman" w:hAnsi="Times New Roman"/>
          <w:sz w:val="28"/>
          <w:szCs w:val="28"/>
          <w:lang w:eastAsia="ru-RU"/>
        </w:rPr>
        <w:t>Товарно-транспортная накладная состоит из товарного и транспортного разделов. Товарный раздел служит для списания товарно-материальных ценностей со склада грузоотправителя и принятия их к учету грузополучателем, транспортный раздел служит для учета транспортных работ и проведения расчетов за оказанные услуги по перевозке грузов.</w:t>
      </w:r>
    </w:p>
    <w:p w:rsidR="00C5366F" w:rsidRPr="00D10A27" w:rsidRDefault="00C5366F" w:rsidP="00D10A27">
      <w:pPr>
        <w:contextualSpacing/>
        <w:jc w:val="both"/>
        <w:rPr>
          <w:rFonts w:ascii="Times New Roman" w:hAnsi="Times New Roman"/>
          <w:sz w:val="28"/>
          <w:szCs w:val="28"/>
        </w:rPr>
      </w:pPr>
      <w:bookmarkStart w:id="26" w:name="_GoBack"/>
      <w:bookmarkEnd w:id="26"/>
    </w:p>
    <w:sectPr w:rsidR="00C5366F" w:rsidRPr="00D10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BD7"/>
    <w:rsid w:val="0033697A"/>
    <w:rsid w:val="004B401F"/>
    <w:rsid w:val="00593BD7"/>
    <w:rsid w:val="006722F2"/>
    <w:rsid w:val="00AF2FD5"/>
    <w:rsid w:val="00C5366F"/>
    <w:rsid w:val="00D10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D3C99-9596-4B81-859F-6034FB2C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988377">
      <w:bodyDiv w:val="1"/>
      <w:marLeft w:val="0"/>
      <w:marRight w:val="0"/>
      <w:marTop w:val="0"/>
      <w:marBottom w:val="0"/>
      <w:divBdr>
        <w:top w:val="none" w:sz="0" w:space="0" w:color="auto"/>
        <w:left w:val="none" w:sz="0" w:space="0" w:color="auto"/>
        <w:bottom w:val="none" w:sz="0" w:space="0" w:color="auto"/>
        <w:right w:val="none" w:sz="0" w:space="0" w:color="auto"/>
      </w:divBdr>
      <w:divsChild>
        <w:div w:id="1449667868">
          <w:marLeft w:val="0"/>
          <w:marRight w:val="0"/>
          <w:marTop w:val="0"/>
          <w:marBottom w:val="0"/>
          <w:divBdr>
            <w:top w:val="none" w:sz="0" w:space="0" w:color="auto"/>
            <w:left w:val="none" w:sz="0" w:space="0" w:color="auto"/>
            <w:bottom w:val="none" w:sz="0" w:space="0" w:color="auto"/>
            <w:right w:val="none" w:sz="0" w:space="0" w:color="auto"/>
          </w:divBdr>
          <w:divsChild>
            <w:div w:id="10125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6510</Words>
  <Characters>37111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43534</CharactersWithSpaces>
  <SharedDoc>false</SharedDoc>
  <HLinks>
    <vt:vector size="6" baseType="variant">
      <vt:variant>
        <vt:i4>1310721</vt:i4>
      </vt:variant>
      <vt:variant>
        <vt:i4>0</vt:i4>
      </vt:variant>
      <vt:variant>
        <vt:i4>0</vt:i4>
      </vt:variant>
      <vt:variant>
        <vt:i4>5</vt:i4>
      </vt:variant>
      <vt:variant>
        <vt:lpwstr>http://www.rosec.ru/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Kostya</dc:creator>
  <cp:keywords/>
  <cp:lastModifiedBy>Irina</cp:lastModifiedBy>
  <cp:revision>2</cp:revision>
  <dcterms:created xsi:type="dcterms:W3CDTF">2014-07-12T19:06:00Z</dcterms:created>
  <dcterms:modified xsi:type="dcterms:W3CDTF">2014-07-12T19:06:00Z</dcterms:modified>
</cp:coreProperties>
</file>