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D3E" w:rsidRDefault="00D922E9">
      <w:pPr>
        <w:widowControl w:val="0"/>
        <w:spacing w:before="120"/>
        <w:ind w:firstLine="0"/>
        <w:jc w:val="center"/>
        <w:rPr>
          <w:rFonts w:ascii="Times New Roman" w:hAnsi="Times New Roman" w:cs="Times New Roman"/>
          <w:b/>
          <w:bCs/>
          <w:color w:val="000000"/>
          <w:sz w:val="32"/>
          <w:szCs w:val="32"/>
          <w:lang w:val="ru-RU"/>
        </w:rPr>
      </w:pPr>
      <w:r>
        <w:rPr>
          <w:rFonts w:ascii="Times New Roman" w:hAnsi="Times New Roman" w:cs="Times New Roman"/>
          <w:b/>
          <w:bCs/>
          <w:color w:val="000000"/>
          <w:sz w:val="32"/>
          <w:szCs w:val="32"/>
          <w:lang w:val="ru-RU"/>
        </w:rPr>
        <w:t>Инфляция. Инфляция в России</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Введение</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Мы живем в очень интересное и трудное время резких и глубоких экономических, политических и социальных перемен в России. Экономика – это особый мир, быть вне экономики невозможно.</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Что такое инфляция? Это понятие возможно возникло одновременно  с возникновением денег, с оборотом которых она неразрывно связана. Непосредственно термин инфляция  появился в Северной Америке в период гражданской войны 1861-1865 гг. и обозначал процесс увеличения обращения бумажных денег.</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Этот термин также употреблялся в Англии и Франции. Однако широкое распространение в экономической литературе термин инфляция получил лишь после 1-ой мировой войны, а в отечественной литературе лишь в середине 20-х гг.</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Наиболее общим, традиционным является следующее определение инфляции: Инфляция - это процесс переполнения каналов обращения денежной массой сверх потребностей товарооборота, что вызывает обесценивание денежной единицы и рост товарных цен.</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Однако такое определение нельзя считать полным. Инфляция, несмотря на то, что она проявляется в росте цен, является сложным социально-экономическим явлением, и представляет собой одну из наиболее острых проблем современной экономики во многих странах мира.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Итак проявлением инфляции является повышение цен, однако не следует забывать, что рост цен может быть связан с отсутствием равновесия между спросом и предложением, такой рост цен на коком-то отдельном товарном рынке - это не инфляция. Инфляция проявляется в повышении общего уровня цен в стране. Подстегивать рост цен  могут и конкретные экономические обстоятельства. Например энергетический кризис 70-х гг. повлиял на общее повышение цен: общий уровень цен поднялся в 1973 году на 7%,а в 1979 году- на  9%.</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Независимо от состояния денежной сферы, цены на товары и услуги могут изменяться вследствие различных причин , таких как сезонные колебания рынка, изменения конъюнктуры, монополизацией рынка, рост производительности труда, государственного регулирования, введение новых ставок  налогов, внешнеэкономические воздействия, стихийные бедствия и т.д.</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Среди перечисленных  выше причин роста цен хотелось бы выделить действительно  инфляционные.</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Так, рост цен связанный с сезонными колебаниями конъюнктуры рынка нельзя считать инфляционными. Повышение производительности труда при прочих равных условиях должно вести к повышению цен. Другое дело - если повышение производительности труда в ряде отраслей сопровождается опережающим это повышение ростом заработной платы. Такое явление называемое инфляцией издержек, действительно сопровождается общим повышением уровня цен.</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Стихийные бедствия не могут считаться причиной инфляционного роста цен. Так если в результате землетрясения разрушены дома, то, очевидно, поднимутся цены на стройматериалы, что будет стимулировать производителей стройматериалов расширять предложение своей продукции и по мере  насыщения рынка  цены станут понижаться.</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Обзор учебной литературы</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выполнения курсовой работы была использована следующая учебная литература: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«Деньги Кредит Банки»  О.И.Лаврушина - были рассмотрены такие вопросы как: сущность и общее представление об инфляции, ее определение, формы проявления и причины; особенности инфляции в России: причины и формы проявления в условиях планово-распределительной экономики; инфляция в условиях перехода к рыночным отношениям; основные направления антиинфляционной политики в РФ и СССР.</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«Деньги Кредит Банки» Е.Ф.Жуков – были рассмотрены такие вопросы как: сущность и факторы, определяющие инфляцию; виды современной инфляции и ее классификация по странам; формы и методы стабилизации денежного обращения.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«Основы экономической теории» Оксанова - Введение в проблему; Инфляция: сущность и виды; Политика подавления инфляции.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«Деньги, денежное обращение и инфляция» Усов – были рассмотрены вопросы такие как: сущность современной инфляции и ее особенности, виды и ее классификация по странам; Теории инфляции; Антиинфляционная политика, формы и методы борьбы; инфляционная политика, формы и методы борьбы; особенности инфляционных процессов в России и выводы.</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Журнал «Деньги и кредит» 12/2002г. – в нем были рассмотрены основные направления денежно-кредитной политики на 2003г, а также проведен анализ динамики инфляции на потребительском рынке.</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Сущность современной инфляции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Диспропорциональность или несбалансированность государственных доходов  и расходов.</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Эта несбалансированность выражается в дефиците государственного бюджета. Если этот дефицит финансируется за счет займов в Центральном   эмиссионном банке страны, то есть за счет печати новых денег, то это приводит к росту массы денег  в обращении и следовательно к росту цен.</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Аналогичная картина возникает при финансировании инвестиций . Особенно инфляционно опасным являются     инвестиции в военной области.Непроизводительное потребление национального дохода на военные цели ведет не только к потере национального богатства, но и создает дополнительный платежеспособный спрос, что ведет к росту денежной массы без соответствующего товарного покрытия.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Рост военных расходов является одной из главных причин хронических дефицитов госбюджета и увеличения государственного долга во многих странах, для покрытия которого выпускаются бумажные деньги.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 Общее повышение уровня цен связывается современной экономической теорией с изменением структуры  рынка в ХХ веке. Структура современного рынка все менее и менее напоминает структуру рынка совершенной конкуренции. Структура современного рынка в значительной степени напоминает олигополистическую . А олигополист имеет возможность в известной степени влиять на цену. Таким образом, олигополисты напрямую заинтересованы в усилении “ гонки цен ” , а также, стремясь поддержать высокий уровень цен, заинтересованы в создании дефицита (сокращении производства и предложения товаров).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желая “ испортить ” свой рынок снижением цен, монополисты и олигополисты препятствуют росту эластичности предложений  товаров в связи с ростом цен. Ограничение притока новых производителей в отрасль олигополии поддерживает длительное  несоответствие спроса и предложения.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Рост “ открытости ” экономики страны , втягивание ее в мирохозяйственные связи  , вызывает опасность “ импортируемой ” инфляции.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Так, к примеру, скачок цен на  энергоносители в 1973 году вызвал рост цен на импортируемую нефть и далее, по технологической цепочке - на другие товары. В условиях неизменного курса валюты страна каждый раз испытывает воздействие  “ внешнего ” повышения цен на импортируемые товары.</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Вместе с тем возможности бороться с этим типом инфляции достаточно ограничены.</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Одной из причин инфляции, имеющей особое значение в нашей стране - это, так называемые, инфляционные ожидания.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Инфляционные ожидания особенно опасны тем, что обеспечивают самоподдерживающий характер инфляции.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Так, население, живущее в условиях постоянного ожидания повышения общего уровня цен, постоянно рассчитывает на дальнейший их рост. В таких условиях трудящиеся требуют все более высокой заработной платы. Население запасается товарами впрок, опасаясь, что цены на них в скором времени еще более поднимутся. Производители, опасаясь, что цены на сырье , оборудование и комплектующие  поднимутся и, желая обезопасить себя, многократно завышают цену на свою продукцию.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Многие экономисты Запада и нашей страны особо выделяют фактор инфляционных ожиданий, подчеркивая, что их преодоление -важнейшая задача антиинфляционной политики.</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Теории инфляции</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1) Инфляция спроса.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Это явление нарушения равновесия между спросом и предложением с в сторону спроса. Причиной такого смещения может быть увеличение государственных заказов (к примеру военных), увеличение спроса на средства производства в условиях полной занятости и практически полной загрузки производственных мощностей, а также рост покупательной способности населения (рост заработной платы) в результате активных действий профсоюзов.</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результате этого в обращении возникает избыток денег по отношению к количеству товаров, повышаются цены. В ситуации, когда уже имеет место полная занятость в сфере производства, производители не могут увеличить предложение товаров в ответ на увеличение спроса.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Инфляция спроса вызывается следующими денежными факторами: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Милитаризация экономики и рост военных расходов. Военная техника становится все менее приспособленной для использования в гражданских отраслях, в результате чего денежный эквивалент, противостоящий военной технике, превращается в фактор, излишний для обращения;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-Дефицит государственного бюджета и рост внутреннего долга. Покрытие дефицита происходит путем размещения займов государства на денежном рынке или при помощи эмиссии неразменных банкнот центрального банка. С мая 1993 г. РФ перешла от второго способа к первому, и началось покрытие дефицита госбюджета РФ за счет размещения на рынке государственных краткосрочных обязательств (ГКД);</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-Кредитная экспансия банков. Так, по состоянию на 1 июля 1994г. объем кредитов, предоставленных Банком России Правительству, составил 27665 млрд.руб. или 38.9% его сводного баланса;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-Импортируемая инфляция. Это эмиссия национальной валюты сверх потребностей товарооборота при покупке иностранной валюты странами с активным платежным балансом;</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-Чрезмерные инвестиции в тяжелую промышленность. При этом с рынка постоянно извлекаются элементы производительного капитала, взамен которых в оборот поступает дополнительные денежный эквивалент. </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2) Инфляция издержек.</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Это явление выражается в росте цен вследствие роста издержек производства. Причинами ее могут стать:</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олигополистическая практика ценообразования,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экономическая политика государства,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рост цен на сырье и т.д.</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Инфляций издержек характеризуется воздействие следующих неденежных факторов на процессы ценообразования: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-Лидерство в ценах. Оно наблюдалось с середины 60-х годов до 1973 года, когда крупные компании отраслей при формировании и изменении цен ориентировались на цены, установленные крупными производителями в отрасли или в рамках локально-территориального рынка.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-Снижение роста производительности труда и падение производства. Такое явление происходило во второй половине 70-х годов. Например, если в экономике США среднегодовой темп производительности труда в 1961-1973 г.г. составлял 2,3%, то в 1974-1980 г.г.- 0,2%, а в промышленности соответственно 3,5 и 0,1%. Аналогичные процессы были и для других промышленно развитых стран. Решающую роль в замедлении роста производительности труда сыграло ухудшение общих условий воспроизводства, вызванное как циклическими, так и структурными кризисами.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-Возросшее значение сферы услуг. Оно характеризуется, с одной стороны, более медленным ростом  производительности труда по сравнению с отраслями материального производства, а с другой - большим удельным весом заработной платы в общих издержках производства. Резкое увеличение спроса на продукцию сферы услуг во второй половине 60-х - начале 70-х годов стимулировало заметное удорожание: в промышленно развитых странах рост цен на услуги в 1,5-2 раза превышая рост цен на остальные товары.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-Ускорение прироста издержек и особенно заработной платы на единицу продукции. Экономическая мощь рабочего класса, активность профсоюзных организаций не позволяют крупным компаниям снизить рост заработной платы до уровня замедленного роста производительности труда. В то же время в результате монополистической практики ценообразования крупным компаниям были компенсированы потери за счет ускоренного роста цен, т.е. была развернута спираль "заработная плата - цены".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Энергетический кризис. Он вызвал в 70-х годах огромное вздорожание нефти и других энергоресурсов. В результате, если в 60- годы среднегодовой рост мировых цен на продукцию промышленно развитых стран составлял всего 1,5%, то в 70-е годы - более 12%.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практике нелегко отличить один существующий тип инфляции от другого. Они тесно взаимодействуют, поэтому рост заработной платы, например, может выглядеть и как инфляция издержек.</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Структурные факторы инфляции не только обусловливают ускорение роста цен, т.е. создают ситуацию "инфляции издержек", но и оказывают большое влияние на развитие "инфляции спроса". Противоречие между развитием производства и узким внутренним рынком стараются в этих странах устранить, с одной стороны, путем дефицитного финансирования (при помощи печатного станка), а с другой - привлечением в растущих объемах иностранных займов. В результате в таких крупнейших латиноамериканских странах, как Бразилия и Аргентина, возникли огромные внутренние и внешние долги.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Инфляция, возникнув, быстро распространяется на все отрасли. Это происходит потому, что они связаны между собой взаимными поставками. Поэтому удорожание какой-либо поставки ведет к увеличению цены выпускаемой продукции.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Инфляция считается опасной болезнью рыночной экономики не только потому, что она быстро распространяет поле своей разрушительной деятельности и самоуглубляется. Ее очень трудно устранить, даже если исчезают вызвавшие ее причины. Это связано с инертностью психологического настроя, который сформировался ранее. Пережившие инфляцию покупатели еще долго совершают покупки "на всякий случай". Адаптивные инфляционные ожидания сдерживают выход страны из инфляционных тисков, т.к. они вызывают ажиотажный спрос, а он поднимает планку товарных цен.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Необходимо отметить, что ни в одной экономически развитой стране во второй половине ХХ века полная занятость, свободный рынок или же стабильность цен в течение длительного времени не наблюдалась. Цены росли непрерывно, а с конца 60-х г.г. -  даже в периоды экономических спадов и застоя, когда недогрузка производства могла доходить до значительных размеров. Такое явление получило название стагфляции, что означает инфляционные рост в условиях стагнации, застоя производства, экономического кризиса.</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Виды современной инфляции и ее классификация по странам</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1. Ползущая инфляция.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Это инфляция, темпы роста цен в условиях которой не превышают 10% в год. Такую инфляцию современная экономическая теория рассматривает как благо для экономического развития, а государство - как субъект проведения эффективной экономической политики. Ползущая инфляция позволяет корректировать цены в соответствии с изменяющимися условиями производства и спроса.</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2. Галопирующая инфляция.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нее характерен темп роста цен от 20% до 200% в год. Это уже серьезное напряжение для экономики, хотя большинство сделок и контрактов учитывает такой рост цен.</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3. Гиперинфляция.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гиперинфляции характерен неограниченный рост количества денег в обращении и уровня цен. Современный рекорд принадлежит Никарагуа: во время гражданской войны среднегодовой рост цен  в этой стране достигал 33 000% .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условиях гиперинфляции наносится огромный ущерб населению, даже состоятельным слоям общества. Разрушается национальное хозяйство.</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 многих странах, испытавших гиперинфляцию, в том числе и в нашей, наблюдалось следующее явление: темпы роста цен значительно опережали темпы роста количества денег  в обращении, например в Венгрии в 1945-1946 гг. - в 4000 раз. Это объясняется тем, что когда население ( и покупатели и производители ) окончательно теряют доверие к обесценивающейся национальной валюте, они начинают стараться как можно быстрее избавиться от нее. Результатом является резкое увеличение скорости оборота денег, что равносильно увеличению их количества.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Очевидно, что огромную роль в раскручивании спирали гиперинфляции играют инфляционные ожидания.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 эти три типа относятся к так называемой открытой инфляции.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Существует также подавленная инфляция, при которой рост цен может и не наблюдаться, а обесценивание денег может выражаться в различного рода дефицитах.</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Именно такая ситуация сложилась в странах бывшего СССР, где инфляция в условиях командно-административной системы находилась в подавленном состоянии и проявлялась в дефицитах и прогрессирующем снижении качества продукции.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Развивающиеся станы по экономическим условиям и факторам инфляции можно классифицировать следующим образом.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первой группе относятся развивающиеся страны Латинской Америки - Аргентина, Бразилия,, где от отмечаются отсутствие экономического равновесия, хронический дефицит государственного бюджета, использование во внутренней политике механизма печатного станка и постоянно индексации всех фондов, а во внешнеэкономической сфере - систематическое понижение курсов национальных валют. Для этих стран характерна гиперинфляция, вызванная главным образом финансированием бюджетного дефицита и связанной с ним избыточной эмиссией денег, в результате чего происходит ежегодное обесценение денег в несколько тысяч процентов в год.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 второй группе относятся Колумбия, Эквадор, Венесуэла, Бирма, Иран, Египет, Сирия, Чили. В них также наблюдается отсутствие экономического равновесия, в финансовой политике отчетливо прослеживается упор на дефицитное финансирование и кредитную экспансию. Инфляция в этих странах держится в "галопирующих пределах" (среднегодовой прирост цен - 20-40%); проводится индексация, которая нередко носит частичный характер. Отмечается высокий уровень безработицы.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Страны третьей группы - Индия, Индонезия, Пакистан, Нигерия, Филиппины, Таиланд - характеризуются ограниченным экономическим равновесием и значительными поступлением иностранной валюты от экспорта. Инфляция держится в пределах 5-20%, применяется частичная индексация доходов. Велика безработица, в т.ч. и скрытая.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Страны четвертой группы - Сингапур, Малайзия, Южная Корея, ОАЭ, Катар, Саудовская Аравия, Бахрейн - имеют достаточную степень экономичного равновесия. Инфляция здесь держится в "ползучих формах" (1-5%), введен строгий контроль за ростом цен. Экономика функционирует в условиях развитого рынка. Важную роль в качестве антиинфляционного эффекта играют экспорт и приток иностранной валюты. Безработица сохраняется на умеренном уровне.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пятой группе относятся бывшие социалистические страны, приравненные к развивающемуся миру (Китай, Польша, Вьетнам и др.) Ситуация в этих странах, включая и положение с инфляцией, органично связана с переходом от командно-административной системы к рыночной экономике.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Среди факторов гиперинфляции в этих странах, как и в странах первой группы, выдвигаются, во-первых, проблема финансирования на базе хронического дефицита государственного бюджета, через который проявляется большинство денежных и неденежных факторов инфляции; во-вторых, структурные факторы (например, важной причиной гиперинфляции в Бразилии и Аргентине был чрезвычайный рост инвестиций в тяжелую промышленность, не приносящий быстрой отдачи); в-третьих, диспропорциональность между более ускоренным ростом цен на промышленную по сравнению с ценами на сельскохозяйственную продукцию.</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Формы и методы антиинфляционной политики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Негативные последствия инфляции вынуждают правительства разных стран проводить определенную антиинфляционную политику.</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Оценивая характер антиинфляционной политики в ней можно выделить два подхода: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Первый подход предусматривает активную бюджетную политику, т.е. активное маневрирование государственными расходами и налогами в целях воздействия на платежеспособный спрос.</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инфляционном спросе государство может уменьшить его путем ограничения своих расходов и повышения налогов. Однако такие действия могут привести к застою и различным кризисным явлениям в экономике, увеличению безработицы.</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условиях спада спроса бюджетная политика может использоваться для его расширения, осуществляются программы государственных капиталовложений и других государственных расходов, понижаются налоги. Налоги снижают в первую очередь для получателей средних и низких доходов.</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Однако стимулирование спроса  бюджетными средствами может усилить инфляцию, к тому же большие бюджетные дефициты не позволяют маневрировать расходами и налогами.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Второй подход это гибкое денежно-кредитное регулирование, которое осуществляется формально неподконтрольным правительству центральным банком страны. Банк изменяет количество денег в обращении и ставку ссудного процента. Денежно-кредитная политика используется как средство для кратковременного воздействия  на экономику. Иными словами, государство должно проводить антиинфляционные мероприятия для ограничения спроса, поскольку стимулирование экономического роста и искусственное поддержание заработной платы путем снижения естественного уровня безработицы ведет к потере контроля над инфляцией.</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 точки зрения интересов общества, борьба с инфляцией может привести к значительным потерям в народном хозяйстве. По некоторым подсчетам, для снижения инфляции на 1% безработица должна быть в течение года на 2% выше своего естественного уровня, при этом реальный Валовой Национальный Продукт ( ВНП ) уменьшается на 4% по сравнению с потенциальным. Для США, например, такое уменьшение ВНП в 1985 году оценивалось в 160 млрд. долларов.</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Начиная с 60-х гг. правительства многих стран проводят политику цен и доходов, которая по существу сводится к ограничению роста заработной платы. Поскольку эта политика означает административную, а не рыночную стратегию борьбы с инфляцией, она не всегда достигают намеченной цели. Параллельное применение различных мер для решения противоречивых проблем может сделать  экономическое регулирование в целом малоэффективным.</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Особенности инфляционных процессов в России: история и современность, методы их регулирования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 1992 года в странах бывшего СССР серьезной антиинфляционной политики не проводилось. Сложность ситуации заключается в том, что антиинфляционную политику в Российской Федерации, например, нельзя свести лишь к косвенным экономическим рычагам. Очевидно, что нарушение пропорций в народном хозяйстве можно постепенно устранить при помощи структурной политики государства и даже прямыми административными методами, в частности, сокращением военных расходов, рационализацией производственных капиталовложений, переходом с бюджетного финансирования части производственных  капиталовложений на использование средств предприятий, привлечением акционерного капитала  и т.д., ломкой  монополистической структуры экономики. Все это необходимо дополнить мерами, которые ограничивают денежную массу, устраняют дефицит госбюджета,  стабилизируют курс национальной валюты, а также созданием условий для усиления конкуренции в экономике.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Уменьшение темпов инфляции до относительно "безопасного" уровня (15-20% за год, или 1-2% в месяц) без сокращения производства и падения жизненного уровня населения возможно лишь при повышении эффективного производства и  уровня качества управления. Эти цели могли быть достигнуты поэтапно, в течении длительного времени.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 понимали, что в первые пять лет (1996-2000г.г.) угроза инфляции является критически острой. От степени ее снижения зависели сроки и условия реализации намеченной стратегии. Увеличение спроса, отмена или ослабление действия "номинальных якорей" (в частности фиксированного валютного курса), усиление протекционизма, меры по финансовой поддержке предприятий неизбежно способствуют повышению инфляции.  На это также накладываются инфляционные ожидания. Соединение этих факторов может привести к быстрому раскручиванию инфляции до 15-20% в месяц. Это означает бы полный провал всей антикризисной стратегии. Поэтому целями антиинфляционной политики должны быть в первую очередь быть:</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предсказуемость динамики инфляции: нельзя допустить ее ускорения дольше 2-5% в среднем за месяц;</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создание институциональных и финансовых предпосылок для сокращения инфляционного потенциала.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Одним из вариантов программы по преодолению высоких темпов инфляции может бы быть следующий вариант развития и соответствующий комплекс мероприятий.</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Несомненно, что в 1998-2003 г.г. расширение конечного спроса требует особого усиления антиинфляционных действий для того, чтобы удержаться на траектории плавного сокращения инфляции. В это время ключевой целью антиинфляционной политики является снижение инфляции до уровня, не препятствующего росту инвестиционной активности, т.е. до 35-40% в год. Для решения этих задач может осуществляться следующий комплекс мер, направленных на сдерживание и регулирование всех трех компонентов инфляции: спроса, издержек и ожиданий.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Регулярная установка ориентиров ("коридор") инфляции денежной массы с разбивкой на кварталы. Разработка системы действий, направленных против отраслей и предприятий, нарушающих установленные ориентиры. Определение также критического уровня инфляции, превышение которого автоматически предполагает приостановку действий, стимулирующих спрос и ужесточение антиинфляционной политики.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Введение прямых ограничительных мер, направленных против роста цен в отраслях-монополистах.</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Важно ограничить дефицит бюджета уровнем 4-5%. Наращивание государственных инвестиций должно происходить параллельно с расширением доходной базы бюджета.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Поддержание процентных ставок на уровне, незначительно превышающем темп инфляции, при этом необходимо стимулировать их дифференциацию с целью замедления оборота денежной массы. Следует отладить механизмы подводки централизованных субсидий и кредитов и субсидий через уполномоченные банки для предотвращения перекачки средств в спекулятивные операции на денежных рынках.</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Ужесточение мер против просроченной дебиторско-кредиторской задолженности (стимулирующей инфляционные процессы) помогает нормализовать кругооборот оборотного капитала в промышленности и развитии вексельного обращения.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 Важно ограничение доли доходов посредников в конечных ценах потребительских товаров.</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С тем, чтобы в последующем перейти к политике стабилизации реального валютного курса, в первое время сохранение "валютного коридора".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 Для борьбы с сезонными всплесками инфляции следует стимулировать фьючерсную торговлю сезонными товарами.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заключительный период (2001-2005г.г) целью подобной антиинфляционной политики целью предполагалось достичь сокращения инфляции до социально-безопасного уровня :1-2% в месяц. Для решения этой задачи необходимо проведение радикального сокращения инфляционного потенциала экономики, изменение ценовых пропорций, структурных сдвигов и пользу отраслей инвестиционного и потребительского комплексов. Стабилизация динамики производства и инвестиций делает тогда возможным усиление дефляционной монетарной политики, ориентированной на реальный сектор и повышение качества жизни населения.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Один был один из вариантов мер по развитию экономики и снижению инфляции.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Однако реальное развитие дел привело к неутешительному результату, которым явился осенний финансовый кризис 1998г. Огромный упор в проводимой политике ставился на стабилизацию курса рубля. Достигать это приходилось за счет значительных трат центральным банком на поддержание валютного коридора. Недостаток золотовалютных средств компенсировался займами в виде государственных краткосрочных бумаг и международных кредитов. С учетом поступлений от них строились бюджеты. В итоге возник огромный государственный долг. Государство стало неспособным выплатить по ГКО, внутренним долгам.</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чем же была причина краха? Сейчас на этот вопрос высказывается множество мнений. Но объективная и глобальная причина была в том, что политика, направленная на преодоление инфляции лишь с помощью финансовых рычагов, тратя основные средства на поддержание стабильного курса рубля, определяя его показателем стабильного развития экономики, невозможна без мер по развитию и поддержанию промышленности, производства, сельского хозяйства, что вели бы к реальному увеличению доходной части бюджета.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Кризис проявился в крахе финансового рынка России, отказу государства платить по государственным ценным бумагам, девальвации рубля почти 150% росту курса доллара, что подвело всю экономику России к грани полного краха. Это выявило тот факт, что создавшаяся в последние время на рынке стабилизация, снижение темпов инфляции, были больше внешними признаками улучшения положения дел. В течение этого времени продолжался спад производства, рос процент экспортного товара, причем даже многие вновь созданные производства в России работали на зарубежном сырье. На рынок России было привлечено множество иностранных инвесторов (нерезидентов), которым государство продавало им свои государственные краткосрочные бумаги по высоким ставкам. Это же в значительной мере поддерживало функционирование многих банковских учреждений. России охотно давали кредиты, в то же время проценты по кредитам росли быстрыми темпами.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Крах всей системы ГКО и ОФЗ, невозможность ЦБ удержать доллар в рамках валютного коридора, невозможность государства выплатить по своим внешним и внутренним долгам (цифры различаются в разных источниках: примерно задолженность по процентам кредитов составляла порядка 17-20 млрд.долл., а бюджет же позволял рассчитывать лишь на 12, 3 млрд.долл)., показывает всю критичность сложившейся в экономике ситуации. При этом иностранные держатели ГКО и ОФЗ требуют возврата своих денег в полном объеме, не принимая условия предложенной схемы погашения.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Мнения только большинства западных экономистов, а так же и многих российских экспертов, говорят о том, что провал последних кредитов МВФ для России положил конец уверениям, что в иностранной помощью можно купить рыночные реформы, деньги фонда значительно облегчали решение возникающих проблем, позволяя обходиться при этом без реформ экономической политики. При этом к последствиям относится то, что для оплаты кредитов фонда требуется повышать налоги на средний класс, который оплачивает эти кредиты. Генерировать экономический рост таким способом не возможно, так как роста при непомерных налогах и растущих процентных ставках не бывает.</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Немаловажная причина была в общем мировом кризисе и мировом падении цен на нефть. Жесткая привязка к курсу доллара на рынке страны, в связи с его ростом, привела к резкому скачку цен. Рухнула вся банковская система, т.к. большинство банков имели своими активами ГКО, осложнилось проведение платежей и расчетов. Вслед за этим рынок стали покидать импортеры. Результатом произошедшего коллапса стало разорение 80% средних и малых предприятий, занимающихся импортом, с тенденцией дальнейшего его прекращения. В добавок к массовому обесцениванию денег у населения, добавились потери по вкладам банков, из-за их банкротства. Произошло резкое снижение платежеспособности населения.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Можно сказать, что Россия в своем экономическом развитии была отброшена на годы назад. Опасность ситуации заключается в том, что в последние пять лет Россия удовлетворяла свои потребительские потребности практически за счет 60 % импортного товара. На данный момент встала реальная опасность создания товарного дефицита, т.к. восстановление промышленности требует долговременных усилий и значительных денежных вложений.</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Результатом кризиса стал рост потребительских цен в России с 1 по 5 октября 1998г. на 0, 4% (сводка Госкомстата РФ). С 29 сентября по 5 октября темпы прироста цен составили 0, 6%. Цены в первую неделю сентября выросли больше, чем за два года. Темпы среднесуточного пророста цен уже в октябре сократились до 0, 086% против 1, 09% в сентябре, когда месячная инфляция составила 38,4%. Так же началась необеспеченная эмиссия: в сентябре денежная масса уже выросла на 12,5 млрд. руб. (т.е. на 8%). при этом не произошло ни адекватного увеличения ни валютных резервов ЦБ, ни заимствований. В то же время даны деньги идут на поддержку банковской системы и "латание" бюджетных дыр, поэтому это нельзя назвать тайной эмиссией, т.к. все социальные выплаты идут в рамках бюджета 1998г.</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Прогнозы экспертов и специалистов международного валютного фонда говорят о том, что при нынешних политических условиях и уровне социальных обязательств государства (почти 40 млрд. руб. только по зарплатам и пенсиям), если в качестве единственного выхода будет принято решение об эмиссионном покрытии бюджета, то к концу года возможна инфляция в 400-500%, и месячные темпы роста составят 20%. А это уже почти гиперинфляция.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Каковы же возможные варианты выхода из кризиса? По этому поводу ведущими политиками и экономистами высказываются ряд мнений.</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Без эмиссии.  Одна из ключевых задач как для ЦБ, так и для Минфина - удержать курс доллара и инфляцию от чрезмерного роста. Меры, предлагаемые правительством, заключаются в ограничении вывоза валюты из страны и , напротив, увеличении притока долларов в Россию. Для этого уже были существенно увеличены прокачки нефти за границу, а вывоз капитала в счет оплаты внешнеторговых контрактов сократился сам собой - нынешняя ситуация в России не способствует импорту.</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Однако, по мнению правительства, в нынешних условиях для прекращения роста валютного курса одного притока нефтедолларов мало: необходимо сбить панику и спекулятивные настроения на внутреннем рынке. Банки, предприятия и граждане должны прекратить скупку долларов. Для этого предлагается создать банковский пул, который вместе с ЦБ будет поддерживать курс рубля. Чтобы ограничить спрос на валюту со стороны откровенных спекулянтов, ЦБ ведет запрет на покупку такими банками валюты сверх заказанной их клиентами, а увеличить предложения валюты на внутреннем рынке планируется за счет того, что экспортеров обяжут продавать 75% валютной выручки (50% - на бирже, 25%- непосредственно ЦБ). ЦБ намерен также ограничить ликвидность межбанковского биржевого валютного рынка и с этой целью возможно, введет сбор с оборота на валютной бирже. По предварительным оценкам эти меры вместе взятые в принципе могут обеспечить значительное увеличение ежедневного предложение валюты на рынке (до 100$ млн.), а в совокупности в другими мерами поднять курс рубля почти в полтора раза. Это самый оптимистичный сценарий, в реальности которого сомневаются сами его составители на уровне руководителей ЦБ.</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Правительством предложена новая схема погашения государственных бумаг (ГКО-ОФЗ) с погашением их большей части рублями. Несмотря на то, что данные меры безусловно оживят банковскую систему: размораживание госдолга принесет хоть какие-то "живые" деньги в экономику, полученные рубли могут вызвать резкое давление на рубль. Поэтому в данной схеме предлагаются две оговорки. Во-первых, рубли, полученные иностранцами, будут заморожены на срок от шести месяцев до года и могут быть использованы только на покупку новых валютных обязательств Минфина. Во-вторых, российские банки получат возможность расплатиться по форвардным контрактам, заключенными с иностранцами, теми же ГКО-ОФЗ. В результате Минфин решет две проблемы одновременно. Структура замороженного долга такова, что треть принадлежат Сбербанку и ЦБ, треть - российским компаниям и банкам, и еще треть - западным инвесторам. При этом общий объем форвардных контрактов между российскими и иностранными банками примерно равен объему вложений в ГКО-ОФЗ и иностранцев и российских банков. Таким образом, перевести ГКО-ОФЗ в валютные обязательства Минфин может на сумму 23-24$млрд. Инфляционный эффект данной программы - увеличение спроса на доллары и на товары в России - от этой схемы реструктуризации будет минимальным.</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Кроме того, правительство решило, что Пенсионный фонд России может принимать платежи в государственных облигациях. А чтобы у него появились "живые" деньги, ЦБ будет кредитовать его под залог этих облигаций. Таким образом, правительство может уменьшить суммарный инфляционный всплеск, который возможен в случае эмиссии рублей для расчетов по всем внутренним долгам - пенсиям, заработной плате и социальным программам.</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 эмиссией. Более реалистичный сценарий предполагает управляемую эмиссию и стабилизацию курса к конце года. (18-20руб/$). Реалистичный он потому, что без более или менее широкой эмиссии не обойтись.</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Деньги требуются на восстановление банковской системы. ЦБ предлагает кредитовать системообразующие банки и только в крайнем случае национализировать их. Существует идея формирования банков - партнеров ЦБ. Банковского пула для поддержания валютного рынка недостаточно, и власти предлагают создать фактически новую систему уполномоченных банков,   но уже на правительства, ЦБ. Эти банки будут проводить платежи налогоплательщиков и получать кредиты ЦБ.</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 при данном ходе событий возможно развитие крайне нежелательного варианта, согласно которому ЦБ начинает масштабную эмиссию - кредитует не только банки, выплаты пенсий, социальных пособий, но и прочие текущие расходы бюджета. Это путь к провалу политики, которую пытаются проводить финансовые власти, так как избыточное предложение рублей в экономике вызовет не только рост цен, но и скачок курса доллара на черном рынке. Согласно нему к концу 98г. инфляция составит 400-500%, и курс рубля будет окончательно подорван.</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Эмиссия так же отрежет возможность получения кредитов мировых организаций.</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Итогом этого сценария может стать падение совокупных валютных резервов правительства, которое повлечет неисполнение обязательств по исполнению обязательств по долларовому долгу. После объявления об отказе от обязательств иностранные кредиторы могут разом предъявить России претензии, что парализует экспортные отрасли и, соответственно, приток валюты в Россию. По аналогичному сценарию развивались события в предыдущем десятилетии в латиноамериканских странах. И эти страны не могла оправиться от кризиса еще почти десять лет.</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 кредитами. Правительство рассчитывает на то, что с финансирование наиболее глобальных его задач - от реструктуризации банковской системы до удержания курса рубля в приемлемых границах, поможет Международный валютный фонд, Мировой и Европейский банки реконструкции и развития. При этом ЦБ видит, что причины кризиса банковской системы проистекают не столько из-за замораживания рынка внутреннего госдолга, сколь из-за неправильной стратегии, которую выбрали банки, и из-за разбалансировки их активов и пассивов. Нынешний банковский кризис - это во основном кризис доверия частных инвесторов и предприятий к российским банкам, российскому рублю и российскому правительству. Здесь возможен вариант либерализации доступа иностранных банков на рынок банковских услуг России. Для то, чтобы все же убедить иностранцев в том, что России для них перспективный рынок и что их права на нем будет защищены, правительству просто необходимо будет предложить нерезидентам приемлемую схему реструктуризации долгов. Для российских же банков в новой схеме ничего не меняется, и она обернется огромными убытками на фоне произошедшей девальвации рубля. Иностранцы получат больше, т.к. они могут требовать с российских банков долги по форвардным контрактам замороженными ГКО и ОФЗ, а во-вторых, они смогут конвертировать рублевые облигации в валютные. Таким образом, новый план реструктуризации ГОК-ОФЗ не принесет облегчения российским банкам, зато поможет восстановить справедливость в отношении иностранцев - их потери потенциально уменьшаться примерно вдвое.</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сложившейся патовой ситуации у правительства минимум программ и вариантов. Либо правительство печатает деньги и получает возможность в течение нескольких месяцев оплачивать все социальны расходы, но при этом инфляция доходит до таких масштабов, что России не избежать долгового коллапса. Либо все-таки идти навстречу иностранцам, допустить их на внутренний банковский рынок, получить кредиты МВФ, но при этом еще больше погрязнуть в долгах и вновь увеличить риск дефлота.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Мнения разные. Присутствуют высказывания, что при втором варианте остается надежда на стабильность темпов роста курса доллара и инфляции, а следователь он может быть более эффективным. Вариантов немного: их выбор - это выбор пути развития событий, каков он будет, а, следовательно, каков будет связанный с ним пакет последующих антикризисных мер покажет время.</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Основные направления денежно-кредитной политики в 2003 году</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Количественные цели денежно-кредитной политики в 2003 году</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Банк России на основе предварительных расчетов состояния платежного баланса страны, проекта федерального бюджета на 2003 год и анализа состояния реального сектора экономики считает возможным определить в качестве цели денежно-кредитной политики ограничение прироста потребительских цен в пределах 10-12% в расчете декабрь 2003 года к декабрю 2002 года.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Для достижения поставленной цели по общему уровню инфляции с учетом предполагаемого Министерством экономического развития и торговли Российской Федерации повышения в 2003 году регулируемых цен и тарифов на товары и услуги естественных монополий и на платные услуги населению уровень базовой инфляции должен составлять 8,0-8,5%.</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Последовательное снижение инфляции по сравнению с 2002 годом должно быть обеспечено не только мерами денежно-кредитной политики, но и мерами государственного контроля над проводимыми структурными преобразованиями в отраслях экономики.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Для достижения конечной цели денежно-кредитной политики Банк России будет контролировать исполнение денежной программы, а также выберет приемлемую для поставленных целей политику валютного курса.</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Политика валютного курса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В 2003 году Банк России продолжит использование режима плавающего валютного курса, т.к. его механизм позволяет активно использовать инструменты денежно-кредитной политики для управления объемом денежного предложения в условиях роста и структурной перестройки российской экономики. Поэтому задачами курсовой политики останутся сглаживание резких, экономически неоправданных колебаний обменного курса и поддержание золотовалютных резервов на достаточном уровне.</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Денежная программа на 2003 год</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Денежная программа представляет собой взаимосвязанную систему проектируемых денежных индикаторов, куда входят показатели денежной базы и основных источников ее формирования: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 чистых международных резервов органов денежно-кредитного регулирования;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 чистых внутренних активов органов денежно-кредитного регулирования, включая чистый кредит расширенному правительству и чистый кредит банкам.</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Расчеты показателей денежной программы на 2003 год определены в двух вариантах исходя из базовых сценариев социально-экономического развития Российской Федерации и соответственнодвух вариантов прогноза платежного баланса России. При этом наиболее значимые факторы, влияющие на параметры денежной программы, связаны с состоянием платежного баланса и бюджетной политикой.</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В первом варианте валовые международные резервные активы останутся неизменными, в связи с чем увеличения денежного предложения по каналу операций Банка России на валютном рынке не ожидается. Поэтому основным источником формирования денежного предложения будет увеличение чистых внутренних активов органов денежно-кредитного регулирования за счет роста чистого кредита расширенному правительству примерно на 100 млрд рублей и валового кредита банкам на 30 млрд рублей. Это соответствует планам Правительства Российской Федерации использовать накопленные средства государственного финансового резерва для финансирования предстоящих расходов бюджета по погашению внешнего долга. Однако проект бюджета на следующий год основан на предположениях второго сценария (цена бареля нефти сорта «Юралс» - 21,5 доллара). При умеренных ценах на экспортные товары и низких темпах роста мировой экономики, как предполагается в первом сценарии, будет происходить сокращение профицита бюджета по сравнению с профицитом, предусмотренным в проекте федерального бюджета на 2003 год.</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Первый сценарий предполагает довольно существенное ослабление притоков капитала и экспортной выручки в страну и как следствие – ограниченную инвестиционную активность. В результате спрос на деньги вырастет в меньшей степени по сравнению со вторым вариантом. Поэтому для того, чтобы обеспечить достижение ориентира по базовой инфляции, темп прироста денежной базы не должен превышать 19%.</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По второму варианту рост валовых международных резервных активов органов денежно-кредитного регулирования на 7 млрд долларов станет одним из главных источников денежного предложения. Однако в отличие от текущего года этот источник не будет единственным. Сокращение остатков средств на счетах органов государственного управления, планируемое правительством, также приведет к росту денежного предложения, что потребует дополнительных усилий со стороны Банка России по стерилизации ликвидности для достижения целей денежно-кредитной политики.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Более высокие темпы роста денежного предложения по второму сценарию тем не менее сохраняют возможность обеспечить достижение целей денежно-кредитной политики, поскольку в связи с ростом инвестиционной активности за счет притоков капитала и экспортной выручки спрос на деньги будет увеличиваться более высокими темпами.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Все показатели денежной программы не являются жестко заданными и в зависимости от развития внутренней и внешней экономической ситуации могут быть скорректированы для достижения цели по уровню инфляции. При этом Банк России в качестве базового выбирает второй вариант денежной программы.</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Снижение среднегодового уровня цен на нефть в 2003 году до значений ниже 18,5 доллара за баррель, по предварительным расчетам, приведет к тенденции сокращения валовых резервных активов Банка России, а также к некоторому ускорению номинального обесценения рубля по отношению к доллару. При этом темпы роста денежной базы будут иметь тенденцию к сокращению и в отличие от первого варианта денежной программы ее достаточность будет в основном обеспечиваться за счет сокращения валютной позиции банковского сектора и рефинансирования со стороны Банка России. Неизбежное в этом случае уменьшение ликвидности банковского сектора приведет к формированию более привлекательных процентных ставок по рублевым активам, что будет препятствовать существенному сокращению международных резервов Банка России.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Качественно противоположная ситуация может сложиться при формировании цен на нефть, превышающих 21,5 доллара за баррель. В этом случае из-за увеличения активного сальдо текущего баланса рост валовых резервных активов Банка России ускорится и видимо окажется выше, чем это заложено в расчет денежной программы 2003 года. Ускоренный рост валовых международных резервов приведет к существенному замедлению темпов номинального обесценивания рубля по отношению к доллару, что отразится с некоторым  лагом на объемах экспорта и импорта.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Опыт применения инструментов денежно-кредитной политики в 2002 году продемонстрировал необходимость поиска такого набора инструментов, который мог бы применяться с одинаковой эффективностью при разных состояниях денежно-кредитной сферы и способствовать достижению целей денежно-кредитной политики.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Варианты базовых прогнозов платежного баланса показывают, что с точки зрения ориентиров денежной программы ситуация с ликвидностью в 2003 году будет варьировать от небольшого дефицита до избытка, а в рамках менее вероятных сценариев – от глубокого дефицита ликвидности до ее опасного с точки зрения цели по уровню инфляции избытка. Использование только одних интервенций Банка России на валютном рынке и депозитного окна постоянного доступа для достижения поставленных целей денежно-кредитной политики в 2003 году может оказаться недостаточным.</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Выводы и предложения</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настоящее время инфляция - один из самых болезненных и опасных процессов, негативно воздействующих на финансы, денежную и экономическую систему в целом. Инфляция означает не только снижение покупательной способности денег, она подрывает возможности хозяйственного регулирования, сводит на нет усилия по проведению структурных преобразований, восстановлению нарушенных пропорций.</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 своему характеру, интенсивности, проявлениям инфляция бывает весьма различной, хотя и обозначается одним термином. Инфляционные процессы не могут рассматриваться как прямой результат только определенной политики, политики расширения денежной эмиссии или дефицитного регулирования производства, ибо рост цен оказывается неизбежным результатом глубинных процессов в экономике, объективным следствием нарастания диспропорций между спросом и предложением, производством предметов потребления и средств </w:t>
      </w:r>
      <w:bookmarkStart w:id="0" w:name="e0_41_"/>
      <w:r>
        <w:rPr>
          <w:rFonts w:ascii="Times New Roman" w:hAnsi="Times New Roman" w:cs="Times New Roman"/>
          <w:color w:val="000000"/>
          <w:sz w:val="24"/>
          <w:szCs w:val="24"/>
          <w:lang w:val="ru-RU"/>
        </w:rPr>
        <w:t xml:space="preserve"> производства, </w:t>
      </w:r>
      <w:bookmarkEnd w:id="0"/>
      <w:r>
        <w:rPr>
          <w:rFonts w:ascii="Times New Roman" w:hAnsi="Times New Roman" w:cs="Times New Roman"/>
          <w:color w:val="000000"/>
          <w:sz w:val="24"/>
          <w:szCs w:val="24"/>
          <w:lang w:val="ru-RU"/>
        </w:rPr>
        <w:t>накоплением и потреблением и т.д. В итоге процесс инфляции - в различных его проявлениях - носит не случайный характер, а весьма устойчивый.</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негативным последствиям инфляционных процессов относятся снижение реальных доходов населения, обесценение сбережений населения, потеря у производителей заинтересованности в создании качественных товаров, ограничение продажи сельскохозяйственных продуктов в городе деревенскими производителями в силу падения заинтересованности, в ожидании повышения цен на продовольствие, ухудшение условий жизни преимущественно у представителей социальных групп с твердыми доходами (пенсионеров, служащих, студентов, доходы которых формируются за счет госбюджета).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странах с развитой рыночной экономикой инфляция может рассматриваться в качестве неотъемлемого элемента хозяйственного механизма. Однако она не представляет серьезной угрозы, поскольку там отработаны и достаточно широко используются методы ограничения и регулирования инфляционных процессов. В последние годы в США, Японии, странах Западной Европы преобладает тенденция замедления темпов инфляции.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отличие от Запада в России и других странах, осуществляющих преобразование хозяйственного механизма, инфляционный процесс развертывается, как правило, в возрастающих темпах. Это весьма необычный, специфический тип инфляции, плохо поддающийся сдерживанию и регулированию. Инфляцию поддерживают инфляционные ожидания, нарушения народнохозяйственной сбалансированности (дефицит госбюджета, отрицательное сальдо внешнеторгового баланса, растущая внешняя задолженность, излишняя денежная масса в обращении).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Управление инфляцией представляет важнейшую проблему денежно-кредитной и в целом экономической политики. Необходимо учитывать при этом многосложный, многофакторный характер инфляции. В ее основе лежат не только монетарные, но и другие факторы. При всей значимости сокращения государственных расходов, постепенного сжатия денежной эмиссии требуется проведение широкого комплекса антиинфляционных мероприятий. Среди них - стабилизация и стимулирование производства, совершенствование налоговой системы, создание рыночной инфраструктуры, повышение ответственности предприятий за результаты хозяйственной деятельности, изменение обменного курса рубля, проведение определенных мер по регулированию цен и доходов.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Нормализация денежного обращения и противодействие инфляции требуют выверенных, гибких решений, настойчиво и целеустремленно проводимых в жизнь.</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Таким образом, из изложенного выше видно, что инфляция - это сложный многопрофильный процесс, наносящий серьезный ущерб экономике страны, ее населению. Инфляция в настоящее время в той или иной степени охватываеьт практически все страны мира. Борьба с ней с целью ее снижения или полного уничтожения  ( идеальный случай )  требует больших сил и материальных затрат.</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Список литературы</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«Деньги Кредит Банки»: учебник для высших уч-ых зав-й / под ред. О.И.Лаврушина. г. М. Статистика и финансы 2002г. – 455стр.</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«Деньги Кредит Банки»: учебник для уч-ых зав-й / Е.Ф.Жуков; Л.М. Максимова и др. – М.: Юнити 2001г – 622стр.</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«Основы экономической теории»: учебное пособие для студентов учереждений среднего профессионального образования. Москва: ФОРУМ ИНФРА –М, 2002 – 272стр. З.К.Океанова.</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«Деньги, денежное обращение и инфляция» учебное пособие для вузов – М.: Банки и биржи ЮНИТИ 1999г – 544с (учебник для вузов В.В.Усов).</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Журнал «Деньги и кредит» 12/2002г.</w:t>
      </w:r>
    </w:p>
    <w:p w:rsidR="00F26D3E" w:rsidRDefault="00D922E9">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Правительство Российской Федерации. Постановление от 18 января 1993 г. №23 "О дальнейших мерах по государственному регулированию инфляционных процессов и частичном изменении постановления Правительства РФ от 31.01.92 №1041 "О государственном регулировании цен на отдельные виды продукции и товаров" (в ред. Постановления Правительства РФ от 26.06.95 №600).</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Президент Российской Федерации. Указ от 3 июня 1993г. "О некоторых мерах по сдерживанию инфляции".</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Государственный комитет по статистике. Постановление от 29 июня 1995 г. № 79 "Об утверждении "Положения о порядке наблюдения за изменение цен и тарифов на товары и услуги, определение индекса потребительских цен".</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Белоусовы. Инфляция: факторы, механизм, стратегия преодоления //Экономист: 1996г, №4.</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5.  Видяпин В.И., Журавлева Г.П. Общая экономическая теория.//М: 1995.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6.  Жуков Г.Ф. Общая теория денег и кредита.//М: 1995.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Илларионов А . Природа российской инфляции. //Вопросы экономики:1995, № 3.</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8.  Медведев А.В. Пути финансовой стабилизации. //Деньги и  кредит:1996, </w:t>
      </w:r>
      <w:r>
        <w:rPr>
          <w:rFonts w:ascii="Times New Roman" w:hAnsi="Times New Roman" w:cs="Times New Roman"/>
          <w:color w:val="000000"/>
          <w:sz w:val="24"/>
          <w:szCs w:val="24"/>
        </w:rPr>
        <w:t>N</w:t>
      </w:r>
      <w:r>
        <w:rPr>
          <w:rFonts w:ascii="Times New Roman" w:hAnsi="Times New Roman" w:cs="Times New Roman"/>
          <w:color w:val="000000"/>
          <w:sz w:val="24"/>
          <w:szCs w:val="24"/>
          <w:lang w:val="ru-RU"/>
        </w:rPr>
        <w:t xml:space="preserve"> 7, С.50.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  Никитин С. Инфляция и возможности ее преодоления.//Экономист: 1995, №8.</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  Никитин С.М. и др. Что такое "шоковая терапия"? //МЭ и МО:1995, № 3</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  Никитин С.М., Семенов Е.К. Гиперинфляция: латиноамериканский опыт и Россия.//Деньги и кредит: 1993. № 6,С.42.</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  Лившиц А. Введение в рыночную экономику.//М: 1991</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  Лившиц А.Я., Никулина И.Н. Введение в рыночную экономику.//М: 1995.</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  Курс экономической теории под. ред. Чепурина М.Н., Киселевой А.В.//Киров:1993</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  Самуэльсон П.А. Экономика. //М: 1993.</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  Теория переходной экономики под ред. Герасименко В.В.// МГУ:1997</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17.  Чекурин М.Н., Киселева Е.А. Курс экономической теории.// Киров, 1994.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18.  "Основные направления единой государственной денежно-кредитной политики на 1997 год." //Деньги и кредит: 1996, </w:t>
      </w:r>
      <w:r>
        <w:rPr>
          <w:rFonts w:ascii="Times New Roman" w:hAnsi="Times New Roman" w:cs="Times New Roman"/>
          <w:color w:val="000000"/>
          <w:sz w:val="24"/>
          <w:szCs w:val="24"/>
        </w:rPr>
        <w:t>N</w:t>
      </w:r>
      <w:r>
        <w:rPr>
          <w:rFonts w:ascii="Times New Roman" w:hAnsi="Times New Roman" w:cs="Times New Roman"/>
          <w:color w:val="000000"/>
          <w:sz w:val="24"/>
          <w:szCs w:val="24"/>
          <w:lang w:val="ru-RU"/>
        </w:rPr>
        <w:t xml:space="preserve"> 12, С.3.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19.  Журнал "Деньги и кредит": 1996, </w:t>
      </w:r>
      <w:r>
        <w:rPr>
          <w:rFonts w:ascii="Times New Roman" w:hAnsi="Times New Roman" w:cs="Times New Roman"/>
          <w:color w:val="000000"/>
          <w:sz w:val="24"/>
          <w:szCs w:val="24"/>
        </w:rPr>
        <w:t>N</w:t>
      </w:r>
      <w:r>
        <w:rPr>
          <w:rFonts w:ascii="Times New Roman" w:hAnsi="Times New Roman" w:cs="Times New Roman"/>
          <w:color w:val="000000"/>
          <w:sz w:val="24"/>
          <w:szCs w:val="24"/>
          <w:lang w:val="ru-RU"/>
        </w:rPr>
        <w:t xml:space="preserve"> 2.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20.  Журнал "Деньги и кредит": 1995, </w:t>
      </w:r>
      <w:r>
        <w:rPr>
          <w:rFonts w:ascii="Times New Roman" w:hAnsi="Times New Roman" w:cs="Times New Roman"/>
          <w:color w:val="000000"/>
          <w:sz w:val="24"/>
          <w:szCs w:val="24"/>
        </w:rPr>
        <w:t>N</w:t>
      </w:r>
      <w:r>
        <w:rPr>
          <w:rFonts w:ascii="Times New Roman" w:hAnsi="Times New Roman" w:cs="Times New Roman"/>
          <w:color w:val="000000"/>
          <w:sz w:val="24"/>
          <w:szCs w:val="24"/>
          <w:lang w:val="ru-RU"/>
        </w:rPr>
        <w:t xml:space="preserve"> 8.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21.  Журнал "Вопросы экономики": 1996, </w:t>
      </w:r>
      <w:r>
        <w:rPr>
          <w:rFonts w:ascii="Times New Roman" w:hAnsi="Times New Roman" w:cs="Times New Roman"/>
          <w:color w:val="000000"/>
          <w:sz w:val="24"/>
          <w:szCs w:val="24"/>
        </w:rPr>
        <w:t>N</w:t>
      </w:r>
      <w:r>
        <w:rPr>
          <w:rFonts w:ascii="Times New Roman" w:hAnsi="Times New Roman" w:cs="Times New Roman"/>
          <w:color w:val="000000"/>
          <w:sz w:val="24"/>
          <w:szCs w:val="24"/>
          <w:lang w:val="ru-RU"/>
        </w:rPr>
        <w:t xml:space="preserve"> 2.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  Вопросы экономики.1995, № 3.</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23.  Журнал "Вопросы экономики": 1995, </w:t>
      </w:r>
      <w:r>
        <w:rPr>
          <w:rFonts w:ascii="Times New Roman" w:hAnsi="Times New Roman" w:cs="Times New Roman"/>
          <w:color w:val="000000"/>
          <w:sz w:val="24"/>
          <w:szCs w:val="24"/>
        </w:rPr>
        <w:t>N</w:t>
      </w:r>
      <w:r>
        <w:rPr>
          <w:rFonts w:ascii="Times New Roman" w:hAnsi="Times New Roman" w:cs="Times New Roman"/>
          <w:color w:val="000000"/>
          <w:sz w:val="24"/>
          <w:szCs w:val="24"/>
          <w:lang w:val="ru-RU"/>
        </w:rPr>
        <w:t xml:space="preserve"> 6,9.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24.  Журнал "Экономист". 1996: </w:t>
      </w:r>
      <w:r>
        <w:rPr>
          <w:rFonts w:ascii="Times New Roman" w:hAnsi="Times New Roman" w:cs="Times New Roman"/>
          <w:color w:val="000000"/>
          <w:sz w:val="24"/>
          <w:szCs w:val="24"/>
        </w:rPr>
        <w:t>N</w:t>
      </w:r>
      <w:r>
        <w:rPr>
          <w:rFonts w:ascii="Times New Roman" w:hAnsi="Times New Roman" w:cs="Times New Roman"/>
          <w:color w:val="000000"/>
          <w:sz w:val="24"/>
          <w:szCs w:val="24"/>
          <w:lang w:val="ru-RU"/>
        </w:rPr>
        <w:t xml:space="preserve"> 9, С.8. </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  Коммерсант, 1995: 4 апреля, С. 59.</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  Журнал "Деньги", 1998: 14 сентября, С.16.</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  Журнал "Деньги", 1998: 30 сентября, С 31.</w:t>
      </w:r>
    </w:p>
    <w:p w:rsidR="00F26D3E" w:rsidRDefault="00D922E9">
      <w:pPr>
        <w:widowControl w:val="0"/>
        <w:spacing w:before="120"/>
        <w:ind w:firstLine="567"/>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  Газета "Коммерсант-</w:t>
      </w:r>
      <w:r>
        <w:rPr>
          <w:rFonts w:ascii="Times New Roman" w:hAnsi="Times New Roman" w:cs="Times New Roman"/>
          <w:color w:val="000000"/>
          <w:sz w:val="24"/>
          <w:szCs w:val="24"/>
        </w:rPr>
        <w:t>daily</w:t>
      </w:r>
      <w:r>
        <w:rPr>
          <w:rFonts w:ascii="Times New Roman" w:hAnsi="Times New Roman" w:cs="Times New Roman"/>
          <w:color w:val="000000"/>
          <w:sz w:val="24"/>
          <w:szCs w:val="24"/>
          <w:lang w:val="ru-RU"/>
        </w:rPr>
        <w:t>", 1998: 1 октября, С 3.</w:t>
      </w:r>
    </w:p>
    <w:p w:rsidR="00F26D3E" w:rsidRDefault="00F26D3E">
      <w:pPr>
        <w:widowControl w:val="0"/>
        <w:spacing w:before="120"/>
        <w:ind w:firstLine="567"/>
        <w:rPr>
          <w:rFonts w:ascii="Times New Roman" w:hAnsi="Times New Roman" w:cs="Times New Roman"/>
          <w:color w:val="000000"/>
          <w:sz w:val="24"/>
          <w:szCs w:val="24"/>
          <w:lang w:val="ru-RU"/>
        </w:rPr>
      </w:pPr>
      <w:bookmarkStart w:id="1" w:name="_GoBack"/>
      <w:bookmarkEnd w:id="1"/>
    </w:p>
    <w:sectPr w:rsidR="00F26D3E">
      <w:pgSz w:w="11907" w:h="16840" w:code="9"/>
      <w:pgMar w:top="1134" w:right="1134" w:bottom="1134" w:left="1134" w:header="1440" w:footer="1440" w:gutter="0"/>
      <w:cols w:space="720"/>
      <w:noEndnote/>
      <w:docGrid w:linePitch="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66EBF"/>
    <w:multiLevelType w:val="hybridMultilevel"/>
    <w:tmpl w:val="A086D4A6"/>
    <w:lvl w:ilvl="0" w:tplc="0419000F">
      <w:start w:val="29"/>
      <w:numFmt w:val="decimal"/>
      <w:lvlText w:val="%1."/>
      <w:lvlJc w:val="left"/>
      <w:pPr>
        <w:tabs>
          <w:tab w:val="num" w:pos="9000"/>
        </w:tabs>
        <w:ind w:left="9000" w:hanging="360"/>
      </w:pPr>
      <w:rPr>
        <w:rFonts w:hint="default"/>
      </w:rPr>
    </w:lvl>
    <w:lvl w:ilvl="1" w:tplc="04190019">
      <w:start w:val="1"/>
      <w:numFmt w:val="lowerLetter"/>
      <w:lvlText w:val="%2."/>
      <w:lvlJc w:val="left"/>
      <w:pPr>
        <w:tabs>
          <w:tab w:val="num" w:pos="9720"/>
        </w:tabs>
        <w:ind w:left="9720" w:hanging="360"/>
      </w:pPr>
    </w:lvl>
    <w:lvl w:ilvl="2" w:tplc="0419001B">
      <w:start w:val="1"/>
      <w:numFmt w:val="lowerRoman"/>
      <w:lvlText w:val="%3."/>
      <w:lvlJc w:val="right"/>
      <w:pPr>
        <w:tabs>
          <w:tab w:val="num" w:pos="10440"/>
        </w:tabs>
        <w:ind w:left="10440" w:hanging="180"/>
      </w:pPr>
    </w:lvl>
    <w:lvl w:ilvl="3" w:tplc="0419000F">
      <w:start w:val="1"/>
      <w:numFmt w:val="decimal"/>
      <w:lvlText w:val="%4."/>
      <w:lvlJc w:val="left"/>
      <w:pPr>
        <w:tabs>
          <w:tab w:val="num" w:pos="11160"/>
        </w:tabs>
        <w:ind w:left="11160" w:hanging="360"/>
      </w:pPr>
    </w:lvl>
    <w:lvl w:ilvl="4" w:tplc="04190019">
      <w:start w:val="1"/>
      <w:numFmt w:val="lowerLetter"/>
      <w:lvlText w:val="%5."/>
      <w:lvlJc w:val="left"/>
      <w:pPr>
        <w:tabs>
          <w:tab w:val="num" w:pos="11880"/>
        </w:tabs>
        <w:ind w:left="11880" w:hanging="360"/>
      </w:pPr>
    </w:lvl>
    <w:lvl w:ilvl="5" w:tplc="0419001B">
      <w:start w:val="1"/>
      <w:numFmt w:val="lowerRoman"/>
      <w:lvlText w:val="%6."/>
      <w:lvlJc w:val="right"/>
      <w:pPr>
        <w:tabs>
          <w:tab w:val="num" w:pos="12600"/>
        </w:tabs>
        <w:ind w:left="12600" w:hanging="180"/>
      </w:pPr>
    </w:lvl>
    <w:lvl w:ilvl="6" w:tplc="0419000F">
      <w:start w:val="1"/>
      <w:numFmt w:val="decimal"/>
      <w:lvlText w:val="%7."/>
      <w:lvlJc w:val="left"/>
      <w:pPr>
        <w:tabs>
          <w:tab w:val="num" w:pos="13320"/>
        </w:tabs>
        <w:ind w:left="13320" w:hanging="360"/>
      </w:pPr>
    </w:lvl>
    <w:lvl w:ilvl="7" w:tplc="04190019">
      <w:start w:val="1"/>
      <w:numFmt w:val="lowerLetter"/>
      <w:lvlText w:val="%8."/>
      <w:lvlJc w:val="left"/>
      <w:pPr>
        <w:tabs>
          <w:tab w:val="num" w:pos="14040"/>
        </w:tabs>
        <w:ind w:left="14040" w:hanging="360"/>
      </w:pPr>
    </w:lvl>
    <w:lvl w:ilvl="8" w:tplc="0419001B">
      <w:start w:val="1"/>
      <w:numFmt w:val="lowerRoman"/>
      <w:lvlText w:val="%9."/>
      <w:lvlJc w:val="right"/>
      <w:pPr>
        <w:tabs>
          <w:tab w:val="num" w:pos="14760"/>
        </w:tabs>
        <w:ind w:left="14760" w:hanging="180"/>
      </w:pPr>
    </w:lvl>
  </w:abstractNum>
  <w:abstractNum w:abstractNumId="1">
    <w:nsid w:val="398F6312"/>
    <w:multiLevelType w:val="singleLevel"/>
    <w:tmpl w:val="D3FCEC2A"/>
    <w:lvl w:ilvl="0">
      <w:start w:val="1"/>
      <w:numFmt w:val="decimal"/>
      <w:lvlText w:val="%1)"/>
      <w:lvlJc w:val="left"/>
      <w:pPr>
        <w:tabs>
          <w:tab w:val="num" w:pos="1249"/>
        </w:tabs>
        <w:ind w:left="1249" w:hanging="420"/>
      </w:pPr>
      <w:rPr>
        <w:rFonts w:hint="default"/>
      </w:rPr>
    </w:lvl>
  </w:abstractNum>
  <w:abstractNum w:abstractNumId="2">
    <w:nsid w:val="3E58756C"/>
    <w:multiLevelType w:val="singleLevel"/>
    <w:tmpl w:val="13004E12"/>
    <w:lvl w:ilvl="0">
      <w:start w:val="1"/>
      <w:numFmt w:val="decimal"/>
      <w:lvlText w:val="%1. "/>
      <w:legacy w:legacy="1" w:legacySpace="0" w:legacyIndent="283"/>
      <w:lvlJc w:val="left"/>
      <w:rPr>
        <w:rFonts w:ascii="SchoolBook" w:hAnsi="SchoolBook" w:cs="SchoolBook" w:hint="default"/>
        <w:b w:val="0"/>
        <w:bCs w:val="0"/>
        <w:i w:val="0"/>
        <w:iCs w:val="0"/>
        <w:sz w:val="24"/>
        <w:szCs w:val="24"/>
        <w:u w:val="none"/>
      </w:rPr>
    </w:lvl>
  </w:abstractNum>
  <w:abstractNum w:abstractNumId="3">
    <w:nsid w:val="47F6739E"/>
    <w:multiLevelType w:val="hybridMultilevel"/>
    <w:tmpl w:val="CB8087A2"/>
    <w:lvl w:ilvl="0" w:tplc="0419000F">
      <w:start w:val="2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6F05599"/>
    <w:multiLevelType w:val="singleLevel"/>
    <w:tmpl w:val="167E62EE"/>
    <w:lvl w:ilvl="0">
      <w:start w:val="1"/>
      <w:numFmt w:val="decimal"/>
      <w:lvlText w:val="%1)"/>
      <w:lvlJc w:val="left"/>
      <w:pPr>
        <w:tabs>
          <w:tab w:val="num" w:pos="1369"/>
        </w:tabs>
        <w:ind w:left="1369" w:hanging="360"/>
      </w:pPr>
      <w:rPr>
        <w:rFonts w:hint="default"/>
      </w:rPr>
    </w:lvl>
  </w:abstractNum>
  <w:abstractNum w:abstractNumId="5">
    <w:nsid w:val="6FB54B43"/>
    <w:multiLevelType w:val="singleLevel"/>
    <w:tmpl w:val="304AF2B4"/>
    <w:lvl w:ilvl="0">
      <w:start w:val="1"/>
      <w:numFmt w:val="decimal"/>
      <w:lvlText w:val="%1)"/>
      <w:lvlJc w:val="left"/>
      <w:pPr>
        <w:tabs>
          <w:tab w:val="num" w:pos="1474"/>
        </w:tabs>
        <w:ind w:left="1474" w:hanging="405"/>
      </w:pPr>
      <w:rPr>
        <w:rFonts w:hint="default"/>
      </w:rPr>
    </w:lvl>
  </w:abstractNum>
  <w:abstractNum w:abstractNumId="6">
    <w:nsid w:val="73FE2DD7"/>
    <w:multiLevelType w:val="singleLevel"/>
    <w:tmpl w:val="A9B285B4"/>
    <w:lvl w:ilvl="0">
      <w:numFmt w:val="none"/>
      <w:lvlText w:val=""/>
      <w:lvlJc w:val="left"/>
      <w:pPr>
        <w:tabs>
          <w:tab w:val="num" w:pos="360"/>
        </w:tabs>
      </w:pPr>
    </w:lvl>
  </w:abstractNum>
  <w:abstractNum w:abstractNumId="7">
    <w:nsid w:val="75F51008"/>
    <w:multiLevelType w:val="hybridMultilevel"/>
    <w:tmpl w:val="3A2644F0"/>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B485942"/>
    <w:multiLevelType w:val="hybridMultilevel"/>
    <w:tmpl w:val="EA1E275C"/>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lvl w:ilvl="0">
        <w:start w:val="2"/>
        <w:numFmt w:val="decimal"/>
        <w:lvlText w:val="%1. "/>
        <w:legacy w:legacy="1" w:legacySpace="0" w:legacyIndent="283"/>
        <w:lvlJc w:val="left"/>
        <w:rPr>
          <w:rFonts w:ascii="SchoolBook" w:hAnsi="SchoolBook" w:cs="SchoolBook" w:hint="default"/>
          <w:b w:val="0"/>
          <w:bCs w:val="0"/>
          <w:i w:val="0"/>
          <w:iCs w:val="0"/>
          <w:sz w:val="24"/>
          <w:szCs w:val="24"/>
          <w:u w:val="none"/>
        </w:rPr>
      </w:lvl>
    </w:lvlOverride>
  </w:num>
  <w:num w:numId="3">
    <w:abstractNumId w:val="1"/>
  </w:num>
  <w:num w:numId="4">
    <w:abstractNumId w:val="4"/>
  </w:num>
  <w:num w:numId="5">
    <w:abstractNumId w:val="5"/>
  </w:num>
  <w:num w:numId="6">
    <w:abstractNumId w:val="6"/>
  </w:num>
  <w:num w:numId="7">
    <w:abstractNumId w:val="6"/>
  </w:num>
  <w:num w:numId="8">
    <w:abstractNumId w:val="7"/>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65"/>
  <w:drawingGridVerticalSpacing w:val="44"/>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2E9"/>
    <w:rsid w:val="000D00D9"/>
    <w:rsid w:val="00D922E9"/>
    <w:rsid w:val="00F26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797B02-3F49-44C7-AAA7-DF572529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ind w:firstLine="709"/>
      <w:jc w:val="both"/>
      <w:textAlignment w:val="baseline"/>
    </w:pPr>
    <w:rPr>
      <w:rFonts w:ascii="SchoolBook" w:hAnsi="SchoolBook" w:cs="SchoolBook"/>
      <w:lang w:val="en-GB"/>
    </w:rPr>
  </w:style>
  <w:style w:type="paragraph" w:styleId="1">
    <w:name w:val="heading 1"/>
    <w:basedOn w:val="a"/>
    <w:next w:val="a"/>
    <w:link w:val="10"/>
    <w:uiPriority w:val="99"/>
    <w:qFormat/>
    <w:pPr>
      <w:keepNext/>
      <w:overflowPunct/>
      <w:adjustRightInd/>
      <w:ind w:firstLine="0"/>
      <w:jc w:val="center"/>
      <w:textAlignment w:val="auto"/>
      <w:outlineLvl w:val="0"/>
    </w:pPr>
    <w:rPr>
      <w:rFonts w:ascii="Times New Roman" w:hAnsi="Times New Roman" w:cs="Times New Roman"/>
      <w:b/>
      <w:bCs/>
      <w:sz w:val="32"/>
      <w:szCs w:val="32"/>
      <w:lang w:val="ru-RU"/>
    </w:rPr>
  </w:style>
  <w:style w:type="paragraph" w:styleId="2">
    <w:name w:val="heading 2"/>
    <w:basedOn w:val="a"/>
    <w:next w:val="a"/>
    <w:link w:val="20"/>
    <w:uiPriority w:val="99"/>
    <w:qFormat/>
    <w:pPr>
      <w:keepNext/>
      <w:overflowPunct/>
      <w:adjustRightInd/>
      <w:ind w:firstLine="0"/>
      <w:jc w:val="left"/>
      <w:textAlignment w:val="auto"/>
      <w:outlineLvl w:val="1"/>
    </w:pPr>
    <w:rPr>
      <w:rFonts w:ascii="Times New Roman" w:hAnsi="Times New Roman" w:cs="Times New Roman"/>
      <w:sz w:val="28"/>
      <w:szCs w:val="28"/>
      <w:lang w:val="ru-RU"/>
    </w:rPr>
  </w:style>
  <w:style w:type="paragraph" w:styleId="3">
    <w:name w:val="heading 3"/>
    <w:basedOn w:val="a"/>
    <w:next w:val="a"/>
    <w:link w:val="30"/>
    <w:uiPriority w:val="99"/>
    <w:qFormat/>
    <w:pPr>
      <w:keepNext/>
      <w:overflowPunct/>
      <w:adjustRightInd/>
      <w:ind w:firstLine="0"/>
      <w:jc w:val="left"/>
      <w:textAlignment w:val="auto"/>
      <w:outlineLvl w:val="2"/>
    </w:pPr>
    <w:rPr>
      <w:rFonts w:ascii="Times New Roman" w:hAnsi="Times New Roman" w:cs="Times New Roman"/>
      <w:b/>
      <w:bCs/>
      <w:sz w:val="28"/>
      <w:szCs w:val="28"/>
      <w:lang w:val="ru-RU"/>
    </w:rPr>
  </w:style>
  <w:style w:type="paragraph" w:styleId="4">
    <w:name w:val="heading 4"/>
    <w:basedOn w:val="a"/>
    <w:next w:val="a"/>
    <w:link w:val="40"/>
    <w:uiPriority w:val="99"/>
    <w:qFormat/>
    <w:pPr>
      <w:keepNext/>
      <w:overflowPunct/>
      <w:adjustRightInd/>
      <w:spacing w:before="240" w:line="360" w:lineRule="auto"/>
      <w:textAlignment w:val="auto"/>
      <w:outlineLvl w:val="3"/>
    </w:pPr>
    <w:rPr>
      <w:rFonts w:ascii="Times New Roman" w:hAnsi="Times New Roman" w:cs="Times New Roman"/>
      <w:b/>
      <w:bCs/>
      <w:sz w:val="28"/>
      <w:szCs w:val="28"/>
      <w:lang w:val="ru-RU"/>
    </w:rPr>
  </w:style>
  <w:style w:type="paragraph" w:styleId="5">
    <w:name w:val="heading 5"/>
    <w:basedOn w:val="a"/>
    <w:next w:val="a"/>
    <w:link w:val="50"/>
    <w:uiPriority w:val="99"/>
    <w:qFormat/>
    <w:pPr>
      <w:keepNext/>
      <w:overflowPunct/>
      <w:adjustRightInd/>
      <w:ind w:firstLine="851"/>
      <w:jc w:val="left"/>
      <w:textAlignment w:val="auto"/>
      <w:outlineLvl w:val="4"/>
    </w:pPr>
    <w:rPr>
      <w:rFonts w:ascii="Times New Roman" w:hAnsi="Times New Roman" w:cs="Times New Roman"/>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en-GB"/>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en-GB"/>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en-GB"/>
    </w:rPr>
  </w:style>
  <w:style w:type="character" w:customStyle="1" w:styleId="40">
    <w:name w:val="Заголовок 4 Знак"/>
    <w:basedOn w:val="a0"/>
    <w:link w:val="4"/>
    <w:uiPriority w:val="9"/>
    <w:semiHidden/>
    <w:rPr>
      <w:b/>
      <w:bCs/>
      <w:sz w:val="28"/>
      <w:szCs w:val="28"/>
      <w:lang w:val="en-GB"/>
    </w:rPr>
  </w:style>
  <w:style w:type="character" w:customStyle="1" w:styleId="50">
    <w:name w:val="Заголовок 5 Знак"/>
    <w:basedOn w:val="a0"/>
    <w:link w:val="5"/>
    <w:uiPriority w:val="9"/>
    <w:semiHidden/>
    <w:rPr>
      <w:b/>
      <w:bCs/>
      <w:i/>
      <w:iCs/>
      <w:sz w:val="26"/>
      <w:szCs w:val="26"/>
      <w:lang w:val="en-GB"/>
    </w:rPr>
  </w:style>
  <w:style w:type="paragraph" w:styleId="a3">
    <w:name w:val="footer"/>
    <w:basedOn w:val="a"/>
    <w:link w:val="a4"/>
    <w:uiPriority w:val="99"/>
    <w:pPr>
      <w:tabs>
        <w:tab w:val="center" w:pos="4320"/>
        <w:tab w:val="right" w:pos="8640"/>
      </w:tabs>
    </w:pPr>
  </w:style>
  <w:style w:type="character" w:customStyle="1" w:styleId="a4">
    <w:name w:val="Нижний колонтитул Знак"/>
    <w:basedOn w:val="a0"/>
    <w:link w:val="a3"/>
    <w:uiPriority w:val="99"/>
    <w:semiHidden/>
    <w:rPr>
      <w:rFonts w:ascii="SchoolBook" w:hAnsi="SchoolBook" w:cs="SchoolBook"/>
      <w:lang w:val="en-GB"/>
    </w:rPr>
  </w:style>
  <w:style w:type="character" w:styleId="a5">
    <w:name w:val="page number"/>
    <w:basedOn w:val="a0"/>
    <w:uiPriority w:val="99"/>
  </w:style>
  <w:style w:type="paragraph" w:styleId="a6">
    <w:name w:val="header"/>
    <w:basedOn w:val="a"/>
    <w:link w:val="a7"/>
    <w:uiPriority w:val="99"/>
    <w:pPr>
      <w:tabs>
        <w:tab w:val="center" w:pos="4320"/>
        <w:tab w:val="right" w:pos="8640"/>
      </w:tabs>
    </w:pPr>
  </w:style>
  <w:style w:type="character" w:customStyle="1" w:styleId="a7">
    <w:name w:val="Верхний колонтитул Знак"/>
    <w:basedOn w:val="a0"/>
    <w:link w:val="a6"/>
    <w:uiPriority w:val="99"/>
    <w:semiHidden/>
    <w:rPr>
      <w:rFonts w:ascii="SchoolBook" w:hAnsi="SchoolBook" w:cs="SchoolBook"/>
      <w:lang w:val="en-GB"/>
    </w:rPr>
  </w:style>
  <w:style w:type="paragraph" w:styleId="21">
    <w:name w:val="Body Text 2"/>
    <w:basedOn w:val="a"/>
    <w:link w:val="22"/>
    <w:uiPriority w:val="99"/>
    <w:pPr>
      <w:overflowPunct/>
      <w:adjustRightInd/>
      <w:spacing w:before="240" w:line="360" w:lineRule="auto"/>
      <w:textAlignment w:val="auto"/>
    </w:pPr>
    <w:rPr>
      <w:rFonts w:ascii="Times New Roman" w:hAnsi="Times New Roman" w:cs="Times New Roman"/>
      <w:sz w:val="26"/>
      <w:szCs w:val="26"/>
      <w:lang w:val="ru-RU"/>
    </w:rPr>
  </w:style>
  <w:style w:type="character" w:customStyle="1" w:styleId="22">
    <w:name w:val="Основной текст 2 Знак"/>
    <w:basedOn w:val="a0"/>
    <w:link w:val="21"/>
    <w:uiPriority w:val="99"/>
    <w:semiHidden/>
    <w:rPr>
      <w:rFonts w:ascii="SchoolBook" w:hAnsi="SchoolBook" w:cs="SchoolBook"/>
      <w:lang w:val="en-GB"/>
    </w:rPr>
  </w:style>
  <w:style w:type="character" w:styleId="a8">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7945</Words>
  <Characters>45293</Characters>
  <Application>Microsoft Office Word</Application>
  <DocSecurity>0</DocSecurity>
  <Lines>377</Lines>
  <Paragraphs>106</Paragraphs>
  <ScaleCrop>false</ScaleCrop>
  <Company>Elcom Ltd</Company>
  <LinksUpToDate>false</LinksUpToDate>
  <CharactersWithSpaces>53132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ИНФЛЯЦИИ</dc:title>
  <dc:subject/>
  <dc:creator>Andy</dc:creator>
  <cp:keywords/>
  <dc:description/>
  <cp:lastModifiedBy>admin</cp:lastModifiedBy>
  <cp:revision>2</cp:revision>
  <cp:lastPrinted>2001-01-26T17:15:00Z</cp:lastPrinted>
  <dcterms:created xsi:type="dcterms:W3CDTF">2014-01-30T14:34:00Z</dcterms:created>
  <dcterms:modified xsi:type="dcterms:W3CDTF">2014-01-30T14:34:00Z</dcterms:modified>
</cp:coreProperties>
</file>