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975" w:rsidRDefault="00A46975">
      <w:pPr>
        <w:ind w:left="142" w:hanging="142"/>
        <w:jc w:val="center"/>
        <w:rPr>
          <w:b/>
          <w:sz w:val="40"/>
        </w:rPr>
      </w:pPr>
    </w:p>
    <w:p w:rsidR="00A46975" w:rsidRDefault="00A46975">
      <w:pPr>
        <w:ind w:left="142" w:hanging="142"/>
        <w:jc w:val="center"/>
        <w:rPr>
          <w:b/>
          <w:sz w:val="40"/>
        </w:rPr>
      </w:pPr>
    </w:p>
    <w:p w:rsidR="00A46975" w:rsidRDefault="000F0272">
      <w:pPr>
        <w:ind w:left="142" w:hanging="142"/>
        <w:jc w:val="center"/>
        <w:rPr>
          <w:b/>
          <w:sz w:val="40"/>
        </w:rPr>
      </w:pPr>
      <w:r>
        <w:rPr>
          <w:b/>
          <w:sz w:val="40"/>
        </w:rPr>
        <w:t>Московская Академия предпринимательства при правительстве г.Москвы</w:t>
      </w: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jc w:val="center"/>
        <w:rPr>
          <w:b/>
          <w:sz w:val="36"/>
        </w:rPr>
      </w:pPr>
    </w:p>
    <w:p w:rsidR="00A46975" w:rsidRDefault="000F0272">
      <w:pPr>
        <w:jc w:val="center"/>
        <w:rPr>
          <w:b/>
          <w:sz w:val="36"/>
        </w:rPr>
      </w:pPr>
      <w:r>
        <w:rPr>
          <w:b/>
          <w:sz w:val="36"/>
        </w:rPr>
        <w:t xml:space="preserve">Реферат по культурологии </w:t>
      </w:r>
    </w:p>
    <w:p w:rsidR="00A46975" w:rsidRDefault="000F0272">
      <w:pPr>
        <w:jc w:val="center"/>
        <w:rPr>
          <w:b/>
          <w:sz w:val="36"/>
        </w:rPr>
      </w:pPr>
      <w:r>
        <w:rPr>
          <w:b/>
          <w:sz w:val="36"/>
        </w:rPr>
        <w:t>на тему: «Проблема социокультурной динамики</w:t>
      </w:r>
    </w:p>
    <w:p w:rsidR="00A46975" w:rsidRDefault="000F0272">
      <w:pPr>
        <w:jc w:val="center"/>
        <w:rPr>
          <w:b/>
          <w:sz w:val="36"/>
        </w:rPr>
      </w:pPr>
      <w:r>
        <w:rPr>
          <w:b/>
          <w:sz w:val="36"/>
        </w:rPr>
        <w:t>и синергетика».</w:t>
      </w: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0F0272">
      <w:pPr>
        <w:ind w:left="5670"/>
        <w:rPr>
          <w:sz w:val="28"/>
        </w:rPr>
      </w:pPr>
      <w:r>
        <w:rPr>
          <w:sz w:val="28"/>
        </w:rPr>
        <w:t>Зачетная книжка №  273/99</w:t>
      </w:r>
    </w:p>
    <w:p w:rsidR="00A46975" w:rsidRDefault="000F0272">
      <w:pPr>
        <w:ind w:left="5670"/>
        <w:rPr>
          <w:sz w:val="28"/>
        </w:rPr>
      </w:pPr>
      <w:r>
        <w:rPr>
          <w:sz w:val="28"/>
        </w:rPr>
        <w:t>Группа : МЭО</w:t>
      </w:r>
    </w:p>
    <w:p w:rsidR="00A46975" w:rsidRDefault="000F0272">
      <w:pPr>
        <w:ind w:left="5670"/>
        <w:rPr>
          <w:sz w:val="28"/>
        </w:rPr>
      </w:pPr>
      <w:r>
        <w:rPr>
          <w:sz w:val="28"/>
        </w:rPr>
        <w:t>Подготовил: Щербина А.Н.</w:t>
      </w:r>
    </w:p>
    <w:p w:rsidR="00A46975" w:rsidRDefault="000F0272">
      <w:pPr>
        <w:ind w:left="5670"/>
        <w:rPr>
          <w:sz w:val="28"/>
        </w:rPr>
      </w:pPr>
      <w:r>
        <w:rPr>
          <w:sz w:val="28"/>
        </w:rPr>
        <w:t>Проверил:_____________</w:t>
      </w:r>
    </w:p>
    <w:p w:rsidR="00A46975" w:rsidRDefault="000F0272">
      <w:pPr>
        <w:ind w:left="5670"/>
        <w:rPr>
          <w:sz w:val="28"/>
        </w:rPr>
      </w:pPr>
      <w:r>
        <w:rPr>
          <w:sz w:val="28"/>
        </w:rPr>
        <w:t>Оценка: ______________</w:t>
      </w: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A46975">
      <w:pPr>
        <w:ind w:left="5670"/>
        <w:rPr>
          <w:sz w:val="28"/>
        </w:rPr>
      </w:pPr>
    </w:p>
    <w:p w:rsidR="00A46975" w:rsidRDefault="000F0272">
      <w:pPr>
        <w:ind w:left="5670"/>
        <w:rPr>
          <w:sz w:val="28"/>
        </w:rPr>
      </w:pPr>
      <w:r>
        <w:rPr>
          <w:sz w:val="28"/>
        </w:rPr>
        <w:t xml:space="preserve">«...синергетику надо внедрять с осторожностью, по возможности без кровопролития.» </w:t>
      </w:r>
      <w:r>
        <w:rPr>
          <w:sz w:val="28"/>
        </w:rPr>
        <w:br/>
        <w:t>(по Салтыкову-Щедрину)</w:t>
      </w:r>
    </w:p>
    <w:p w:rsidR="00A46975" w:rsidRDefault="00A46975">
      <w:pPr>
        <w:jc w:val="center"/>
        <w:rPr>
          <w:sz w:val="28"/>
        </w:rPr>
      </w:pPr>
    </w:p>
    <w:p w:rsidR="00A46975" w:rsidRDefault="00A46975">
      <w:pPr>
        <w:jc w:val="center"/>
        <w:rPr>
          <w:sz w:val="28"/>
        </w:rPr>
      </w:pPr>
    </w:p>
    <w:p w:rsidR="00A46975" w:rsidRDefault="000F0272">
      <w:pPr>
        <w:jc w:val="center"/>
        <w:rPr>
          <w:sz w:val="28"/>
        </w:rPr>
      </w:pPr>
      <w:r>
        <w:rPr>
          <w:sz w:val="28"/>
        </w:rPr>
        <w:t>А НАДО ЛИ ?</w:t>
      </w:r>
    </w:p>
    <w:p w:rsidR="00A46975" w:rsidRDefault="000F0272">
      <w:pPr>
        <w:ind w:firstLine="567"/>
        <w:jc w:val="both"/>
        <w:rPr>
          <w:sz w:val="28"/>
        </w:rPr>
      </w:pPr>
      <w:r>
        <w:rPr>
          <w:sz w:val="28"/>
        </w:rPr>
        <w:t xml:space="preserve">Глобальный цивилизационный кризис конца ХХ века, проявляющийся во всех областях человеческой деятельности, обусловлен двумя основными причинами. Во-первых мы вступили, по выражению Эрвин Ласло, в "эпоху бифуркаций" порожденную интерференцией многих циклических социокультурных процессов на неустойчивой границе самоистребления, границе экстенсивного развития техногенной цивилизации, и, во-вторых, набирают темп процессы самоорганизации нового информационного общества, ноосферные механизмы которого похоже могут стать гарантами мягкого сценария выхода из планетарного кризиса. В любом случае кризис характеризуется гибелью многих параметров порядка, ростом объема информации и коммуникативных связей в режиме с обострением, и, как следствие этого, порождает фрагментарность восприятия мира, кризис самоидентификации как личности, так и социальных групп, напряженность в межнациональных и межконфессиональных отношениях , отношениях человека и природы, культуры естественнонаучной и культуры гуманитарной и т.д.. </w:t>
      </w:r>
    </w:p>
    <w:p w:rsidR="00A46975" w:rsidRDefault="000F0272">
      <w:pPr>
        <w:ind w:firstLine="567"/>
        <w:jc w:val="both"/>
        <w:rPr>
          <w:sz w:val="28"/>
        </w:rPr>
      </w:pPr>
      <w:r>
        <w:rPr>
          <w:sz w:val="28"/>
        </w:rPr>
        <w:t xml:space="preserve">Ситуация напоминает библейский сюжет о смешении языков начиная уже с уровня научного дисциплинарного знания. </w:t>
      </w:r>
    </w:p>
    <w:p w:rsidR="00A46975" w:rsidRDefault="000F0272">
      <w:pPr>
        <w:ind w:firstLine="567"/>
        <w:jc w:val="both"/>
        <w:rPr>
          <w:sz w:val="28"/>
        </w:rPr>
      </w:pPr>
      <w:r>
        <w:rPr>
          <w:sz w:val="28"/>
        </w:rPr>
        <w:t xml:space="preserve">Кризис современной системы образования, так же лишь часть глобального кризиса, в немалой степени обусловлен узко прагматическими установками, ориентацией на узко дисциплинарный подход без горизонтальных связей, жесткое разграничение гуманитарных и естественнонаучных дисциплин. Следствием этого разграничения являются не только фрагментарность видения реальности, но и ее деформация, что в условиях нарождающегося постиндустриального информационного общества "третьей волны" не позволяет людям адекватно реагировать на обостряющийся экологический кризис, девальвацию нравственных норм, нестабильность политических и экономических ситуаций. Мы страдаем от неспособности охватить комплексность проблем, понять связи и взаимодействия между вещами, находящимися для нашего сегментированного сознания в разных областях. Это также объясняет действия многих крупных организаций и властных структур, напоминающие "слепой полет". Такое положение показывает, что сегодня судьбы цивилизации не могут определяться ни мудрейшими правительствами, ни международными организациями, ни учеными до тех пор, пока их действия не будут осознано поддержаны широкими слоями населения или, говоря языком пост неклассической науки, пока не будет создана новая самоорганизующаяся среда. И сегодня новое видение мира, понимание личной ответственности за его судьбу постепенно становятся непременным условием выживания Человечества и каждого индивидуума. Говоря об этом, французский социолог Эдгар Морэн отмечает: " Мы нуждаемся в демократии разума, а не в демократии общества массового потребления, которая сейчас приводит к регрессу демократии, в особенности из-за того, что ключевые вопросы цивилизации не проходят на уровень политического сознания. Но демократия разума требует изменения менталитета, который бы сделал возможным квалифицированное принятие решений гражданами по глобальным проблемам. Отсюда потребность в радикальной реформе образования, которая бы сделала возможным не только анализ , но и взаимоувязывание знаний". </w:t>
      </w:r>
    </w:p>
    <w:p w:rsidR="00A46975" w:rsidRDefault="000F0272">
      <w:pPr>
        <w:ind w:firstLine="567"/>
        <w:jc w:val="both"/>
        <w:rPr>
          <w:sz w:val="28"/>
        </w:rPr>
      </w:pPr>
      <w:r>
        <w:rPr>
          <w:sz w:val="28"/>
        </w:rPr>
        <w:t xml:space="preserve">По нашему мнению, реформа образования должна опираться на идеи целостности и фундаментальности образования, но не в духе традиционного дисциплинарного понимания фундаментальных наук, заложившего образовательную парадигму со времен первой фазы научной революции, а с учетом парадигмальных изменений науки рубежа ХХI века, перехода ее в междисциплинарную стадию постнеклассической науки. Таким образом, реформа образования в школе, как высшей, так и общеобразовательной, не может сводиться к косметическим мерам, но связана с кардинальным расширением понятия фундаментальности образования, дающего целостное видение природы, человека и общества в контексте междисциплинарного диалога, в котором одной из наибольших проблем является проблема взаимопонимания естественника и гуманитария, или, говоря словами Чарльза Сноу - проблема двух культур. Причем по экспертным оценкам для управления ситуацией нам отпущен лишь краткий миг истории- два три поколения, иначе последствия будут глобально необратимы, и кризис пойдет по катастрофическому сценарию. Вот почему образование должно сейчас нести не только традиционную функцию передачи социального опыта, но в большой степени опережающую, превентивную функцию - подготовка человека к жизни в эпоху кризисов. </w:t>
      </w:r>
    </w:p>
    <w:p w:rsidR="00A46975" w:rsidRDefault="000F0272">
      <w:pPr>
        <w:ind w:firstLine="567"/>
        <w:jc w:val="both"/>
        <w:rPr>
          <w:sz w:val="28"/>
        </w:rPr>
      </w:pPr>
      <w:r>
        <w:rPr>
          <w:sz w:val="28"/>
        </w:rPr>
        <w:t>О КОНЦЕПЦИИ ЦЕЛОСТНОСТИ В СТАНОВЯЩЕМСЯ БЫТИИ</w:t>
      </w:r>
    </w:p>
    <w:p w:rsidR="00A46975" w:rsidRDefault="000F0272">
      <w:pPr>
        <w:ind w:firstLine="567"/>
        <w:jc w:val="both"/>
        <w:rPr>
          <w:sz w:val="28"/>
        </w:rPr>
      </w:pPr>
      <w:r>
        <w:rPr>
          <w:sz w:val="28"/>
        </w:rPr>
        <w:t xml:space="preserve">Лидирующее место в культуре нашей эпохи, бесспорно, занимает наука. Научный метод, рожденный естествознанием, последние сто лет доминирует в духовном мире, формируя даже дисциплины о человеке и обществе, ему мы обязаны триумфом техногенной цивилизации, приведшей не только к быстрому развитию экономической и социальной сфер общества, но и вызвавшей глобальный экономический кризис, отчуждение человека от природы, все большую дегуманизацию общества. Причины негативных эффектов глубоки, и одна из них в том, что сегодня мы должны признать существование двух культур, обладающих разными языками, критериями и ценностями: культуры естествознания с доминантой научного метода, включающей науки о природе, технику и т.п., и культуры гуманитарной, включающей искусство, литературу, науки об обществе и внутреннем мире человека. Связующим звеном, как и в былые времена, должна бала бы стать современная философия, но не смогла в силу переживаемого ею кризиса и малой популярности. К тому же в России сформировалось настороженное отношение к официальной философии: воинствующий материализм в равной мере подавлял как науку, так и искусство. И сейчас , к сожалению, эти культуры не столько дополняют друг друга сколько противостоят, все еще разделяя людей на "физиков" и "лириков", не желающих понимать проблем оппонента, хотя лидеров обоих направлений всегда отличало синтетическое мышление. Дело даже не столько в том, что существую врожденные склонности людей (лево-правополушарники), что отличны предмет и метод познания, сколько в исторических корнях эволюции культур их постепенного отчуждения. Наука страдала сначала от церковного догматизма и спекуляций, затем от вторжения вульгарной философии, а искусство - от утилитарно-рассудочного техницизма и позитивизма Нового времени, причем после Хиросимы и особенно Чернобыля в среде гуманитариев возник устойчивый антинаучный синдром. Конечно так было не всегда. Этому искусственному размежеванию не более трехсот лет, и сейчас многие проблемы человечества могли бы быть решены на пути гармонизации частей изначально единой культуры, например по образцу натурфилософии или даже античной единой культуры, восходящей к Аристотелю, но на новом уровне развития. Сложность в том, что в преддверии кризиса Разум человечества глубоко болен: в погоне за мощью абстрактного интеллекта мы на грани самоуничтожения, забыты принципы единства с окружающим миром, до сих пор не осознана наша миссия соавторства на пути космической эволюции, мы только сейчас начали понимать ущербность антропоцентризма, провозглашенного гуманистами Возрождения. Сегодня раздаются призывы вернуться к национальным корням, назад к природе, возродить религию: все эти на первый взгляд разные рецепты имеют единый корень - ностальгию по духовно здоровому социуму, живущему в гармонии с природой. Но возможно ли приблизиться к такому обществу без существенных потерь материального и культурного потенциалов современной цивилизации (Чтобы наметить подход к решению, уместно провести параллель между линией эволюции человечества и путем духовного совершенствования личности, когда за короткий период одной жизни ученик в восточной традиции или выбравший "узкий путь" монах на западе проходят процесс инициации относительно стабильного состояния через душевные испытания, искушения и хаос к высшей ступени совершенства. Тысячелетние традиции подтверждают, что в момент инициаций, сильной неустойчивости нельзя доверяться рассудочным аргументам, они как правило иллюзорны, основаны на неконтролируемых импульсах и могут привести к психической травме и даже к разрушению личности, поэтому в каждой традиции существуют свои приемы фиксации, ограничения вариабельности мышления. Единственной опорой и путеводным лучом в эти периоды служат дополнительные к рациональным нравственные критерии, те корни и вечные ценности, ядро которых универсально во всех мировых религиях. Экстраполируя эти механизмы на общество в целом, позволим себе заключить, что оптимизировать выход из кризиса можно, уравновешивая, синтезируя рациональную и гуманитарную компоненты культуры. К аналогии между компенсаторными, антиэнтропойными механизмами высокоразвитых интеллектуальных систем и моралью приводить более подробный анализ. Так, кризис техногенного общества конца ХХ века мог бы уже закончиться планетарной ядерной катастрофой, не появись нравственный мотив в политике 80-х, и теперь есть шанс на относительно мягкое прохождение кризиса. </w:t>
      </w:r>
    </w:p>
    <w:p w:rsidR="00A46975" w:rsidRDefault="000F0272">
      <w:pPr>
        <w:ind w:firstLine="567"/>
        <w:jc w:val="both"/>
        <w:rPr>
          <w:sz w:val="28"/>
        </w:rPr>
      </w:pPr>
      <w:r>
        <w:rPr>
          <w:sz w:val="28"/>
        </w:rPr>
        <w:t xml:space="preserve">Сегодня становится очевидной необходимость привнесения в сферу науки нравственных, этических и даже эстетических категорий, столь характерных для древних традиций Запада и Востока в опыте единения человека с природой и космосом. А гуманитариям следовало бы перенять обыкновение ученых не отвергать, а переосмысливать ряд накопленных ранее истин, попытаться объяснить законы гармонии на языке более универсальном, чем язык субьективно-эмоциональных переживаний. </w:t>
      </w:r>
    </w:p>
    <w:p w:rsidR="00A46975" w:rsidRDefault="000F0272">
      <w:pPr>
        <w:ind w:firstLine="567"/>
        <w:jc w:val="both"/>
        <w:rPr>
          <w:sz w:val="28"/>
        </w:rPr>
      </w:pPr>
      <w:r>
        <w:rPr>
          <w:sz w:val="28"/>
        </w:rPr>
        <w:t xml:space="preserve">Таким образом, мы приходим к необходимости формирования, с учетом знаний современной науки, целостного видения мира, свойственного нашим предкам. Синтез мудрости древних цивилизаций, гуманитарных и естественных наук - это путь к новому пониманию природы, человека и общества. В последние десятилетия такой синтез начался спонтанно в силу логики развития самой науки, интеграции ее дисциплин, рассмотрения все более сложных систем в физике, химии, биологии, приближающихся по сложности поведения к живым организмам или их сообществам, моделирующим, как оказалось, также социальные и психологические феномены. Кроме того, сейчас осознана принципиальная неустранимость роли человека как наблюдателя и интерпретатор - эксперимента, т.е. актуален лишь целостный подход: природа +человек. Это направление науки о сложном - синергетика, - опирающееся на современные математические методы и являющееся далеко идущим обобщением дарвинизма, по существу, может быть названо "эволюционным естествознанием" в широком смысле. От Бытия к Становлению - вот, следуя Илье Пригожину, ориентация новой научной парадигмы, в контексте которой акцент переносится с изучения инвариантов системы, положений равновесия, на изучение состояний неустойчивости, механизмов возникновения нового, рождения и перестройки структур, самоорганизации. Например, возникает возможность универсальным образом описывать явления самоорганизации, проясняется значение открытости систем, роль случайности и конструктивная роль хаоса, природа катастрофических революционных изменений в системе, механизмы альтернативного - исторического ее развития и т.д.. Замечательно, Что все эти понятия, до недавнего времени бывшие исключительно в арсенале гуманитарного образа мышления, теперь приобретают иное, более глубокое звучание. Теперь можно говорить о возникновении некоего, более чем метафорического, единого метаязыка естественника и гуманитария. Намечаются понимание и встречное движение двух культур, возврат к единству на новом уровне сознания мира. Этот процесс надо сознательно развивать, что приведет не только к примирению , но и взаимообогащению двух культур, так как одна представляет рациональный способ постижения мира, другая - диалектически дополнительный - интуитивный, ассоциативно-образный. Диалектическое единство заключается в том, что ни одна из культур не самодостаточна и, согласно знаменитой теореме Курта Геделя о неполноте, рано или поздно не сможет развиваться без привлечения методов другой, вырождаясь иначе в застывшую догму, либо в хаос абсурда. </w:t>
      </w:r>
    </w:p>
    <w:p w:rsidR="00A46975" w:rsidRDefault="000F0272">
      <w:pPr>
        <w:ind w:firstLine="567"/>
        <w:jc w:val="both"/>
        <w:rPr>
          <w:sz w:val="28"/>
        </w:rPr>
      </w:pPr>
      <w:r>
        <w:rPr>
          <w:sz w:val="28"/>
        </w:rPr>
        <w:t xml:space="preserve">Итак, смена парадигмы, происходящая в науке, переход от ньютоновской к эволюционной, синергетической парадигме сейчас резонирует с потребностями культуры человечества в целом. Проблемы социума в большой степени связаны с укоренившимся линейным, детерминистским подходом к природе и технике, который был перенесен на общество и способствова развитию позитивизма, потребительской идеологии, неумению предвидеть экологические и цивилизационные кризисы. В этой связи важной задачей является создание новых курсов преподавания естествознания, способных изменить официальную идеологию, дать один из ключей к пониманию механизмов потрясений в обществе, столь неустойчивом и бурно меняющемся в конце ХХ века, сформировать адекватный менталитет социума. Это должны быть курсы, не представляющие собой механическое соединение традиционных курсов физики, химии,биологии и экологии, но являющиеся продуктом междисциплинарного синтеза на основе комплексного историко-философского, культурологического и волюционносинергетического подходов к современному естествознанию. Его преподавание стало возможным на основе применения новой парадигмы, способной объединить естественноначную и гуманитарную компоненты культуры, и осознанию универсальной роли метаязыка, синтезирующего фундаментальные законы естествознания, философии и синергетики. </w:t>
      </w:r>
    </w:p>
    <w:p w:rsidR="00A46975" w:rsidRDefault="000F0272">
      <w:pPr>
        <w:ind w:firstLine="567"/>
        <w:jc w:val="both"/>
        <w:rPr>
          <w:sz w:val="28"/>
        </w:rPr>
      </w:pPr>
      <w:r>
        <w:rPr>
          <w:sz w:val="28"/>
        </w:rPr>
        <w:t>ИСКУШЕНИЕ СИНЕРГЕТИКОЙ: ЧТО ДЕЛАТЬ?</w:t>
      </w:r>
    </w:p>
    <w:p w:rsidR="00A46975" w:rsidRDefault="000F0272">
      <w:pPr>
        <w:ind w:firstLine="567"/>
        <w:jc w:val="both"/>
        <w:rPr>
          <w:sz w:val="28"/>
        </w:rPr>
      </w:pPr>
      <w:r>
        <w:rPr>
          <w:sz w:val="28"/>
        </w:rPr>
        <w:t xml:space="preserve">Итак, сегодня как никогда нужен целостный трансдисциплинарный взгляд на мир, причем на уровне сознания большинства граждан, иначе в обществе не возникнет когерентного понимания глобальных проблем и способов их решения. Да и откуда ему взяться, ведь социальный опыт передается системой образовательных институтов, которые ориентированы на стереотипы линейного стабильного развития в прошлом, а сегодня необходимо ввести превентивное обучение принципам жизни в неустойчивом нелинейном мире, где временные масштабы иллюзорны и человек должен научиться жить в динамическом хаосе, постигая его законы, законы самоорганизации. Для смены образовательной стратегии отпущен лишь краткий миг истории - рубеж тысячелетий, благо новая холистическая методология уже достаточно развита - это междисциплинарное направление науки - синергетика или теория самоорганизации.  </w:t>
      </w:r>
    </w:p>
    <w:p w:rsidR="00A46975" w:rsidRDefault="00A46975">
      <w:pPr>
        <w:ind w:firstLine="567"/>
        <w:jc w:val="both"/>
        <w:rPr>
          <w:sz w:val="28"/>
        </w:rPr>
      </w:pPr>
    </w:p>
    <w:p w:rsidR="00A46975" w:rsidRDefault="000F0272">
      <w:pPr>
        <w:ind w:firstLine="567"/>
        <w:jc w:val="both"/>
        <w:rPr>
          <w:sz w:val="28"/>
        </w:rPr>
      </w:pPr>
      <w:r>
        <w:rPr>
          <w:sz w:val="28"/>
        </w:rPr>
        <w:t>Я считаю, что проблема социокультурной динамики существует и она на много реальнее, чем многим кажется. Синергетику можно и даже нужно внедрять в учебные учреждения такие как средняя общеобразовательная школа, университеты, независимо от их направленности, академии, и т.д.</w:t>
      </w:r>
    </w:p>
    <w:p w:rsidR="00A46975" w:rsidRDefault="000F0272">
      <w:pPr>
        <w:ind w:firstLine="567"/>
        <w:jc w:val="both"/>
        <w:rPr>
          <w:sz w:val="28"/>
        </w:rPr>
      </w:pPr>
      <w:r>
        <w:rPr>
          <w:sz w:val="28"/>
        </w:rPr>
        <w:t xml:space="preserve">Здесь в наибольшей степени сказывается антропный, постнеклассический характер синергетики, в процессах диалога и развитии само референтных систем. Высокие примеры педагогического мастерства и авторских методик и есть лучшие образцы приложения целостных синергетических подходов, но сегодня проблема не в том чтобы создать единую методику, а в том чтобы научить педагога осознанно создавать свою, только ему присущую методику и стиль, оставаясь на позициях науки о человеке. Сегодня идеи синергетики все шире поддерживаются научной и педагогической общественностью: в частности, в рамках программы новой дисциплины "Естествознание" для гуманитариев во всех вузах России обязательно изучение большого раздела "Синергетика", готовится ряд учебных пособий по синергетики и ее приложениям. В области синергетических методик обучения  в ряду наиболее эффективных образовательных синергетических технологий безусловный интерес вызывает "Автодидактика " В.А.Куринского. </w:t>
      </w:r>
    </w:p>
    <w:p w:rsidR="00A46975" w:rsidRDefault="00A46975">
      <w:pPr>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ind w:firstLine="567"/>
        <w:jc w:val="both"/>
        <w:rPr>
          <w:sz w:val="28"/>
        </w:rPr>
      </w:pPr>
    </w:p>
    <w:p w:rsidR="00A46975" w:rsidRDefault="00A46975">
      <w:pPr>
        <w:jc w:val="both"/>
        <w:rPr>
          <w:sz w:val="28"/>
        </w:rPr>
      </w:pPr>
    </w:p>
    <w:p w:rsidR="00A46975" w:rsidRDefault="000F0272">
      <w:pPr>
        <w:jc w:val="both"/>
        <w:rPr>
          <w:sz w:val="28"/>
        </w:rPr>
      </w:pPr>
      <w:r>
        <w:rPr>
          <w:sz w:val="28"/>
        </w:rPr>
        <w:t>Список использованного материала:</w:t>
      </w:r>
    </w:p>
    <w:p w:rsidR="00A46975" w:rsidRDefault="00A46975">
      <w:pPr>
        <w:jc w:val="both"/>
        <w:rPr>
          <w:sz w:val="28"/>
        </w:rPr>
      </w:pPr>
    </w:p>
    <w:p w:rsidR="00A46975" w:rsidRDefault="000F0272">
      <w:pPr>
        <w:jc w:val="both"/>
        <w:rPr>
          <w:sz w:val="28"/>
        </w:rPr>
      </w:pPr>
      <w:r>
        <w:rPr>
          <w:sz w:val="28"/>
        </w:rPr>
        <w:t xml:space="preserve">1. Московский Синергетический Форум "Устойчивое развитие в изменяющемся мире". (Январь 1996).Тезисы. 1996. </w:t>
      </w:r>
    </w:p>
    <w:p w:rsidR="00A46975" w:rsidRDefault="000F0272">
      <w:pPr>
        <w:jc w:val="both"/>
        <w:rPr>
          <w:sz w:val="28"/>
        </w:rPr>
      </w:pPr>
      <w:r>
        <w:rPr>
          <w:sz w:val="28"/>
        </w:rPr>
        <w:t xml:space="preserve">2. Буданов В.Г.. Концепция естественнонаучного образования гуманитариев: эволюционносинергетический подход. Высшее образование в России, N4, 1994. </w:t>
      </w:r>
    </w:p>
    <w:p w:rsidR="00A46975" w:rsidRDefault="000F0272">
      <w:pPr>
        <w:jc w:val="both"/>
        <w:rPr>
          <w:sz w:val="28"/>
        </w:rPr>
      </w:pPr>
      <w:r>
        <w:rPr>
          <w:sz w:val="28"/>
        </w:rPr>
        <w:t xml:space="preserve">3. Примерная программа дисциплины "Современное естествознание" для гуманитарных направлений бакалавриата. ( Авторы: Буданов В.Г., Мелехова О.П., Суханов А.Д., под редакцией академика Степина В.С.) Гос. Ком. Вуз. России, Москва, февраль 1995. . </w:t>
      </w:r>
    </w:p>
    <w:p w:rsidR="00A46975" w:rsidRDefault="000F0272">
      <w:pPr>
        <w:jc w:val="both"/>
        <w:rPr>
          <w:sz w:val="28"/>
        </w:rPr>
      </w:pPr>
      <w:r>
        <w:rPr>
          <w:sz w:val="28"/>
        </w:rPr>
        <w:t xml:space="preserve">4. Куринский В.А.."Автодидактика", Автодидакт, Москва 1994. </w:t>
      </w: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p w:rsidR="00A46975" w:rsidRDefault="00A46975">
      <w:pPr>
        <w:rPr>
          <w:sz w:val="28"/>
        </w:rPr>
      </w:pPr>
    </w:p>
    <w:tbl>
      <w:tblPr>
        <w:tblW w:w="0" w:type="auto"/>
        <w:tblInd w:w="-108" w:type="dxa"/>
        <w:tblLayout w:type="fixed"/>
        <w:tblLook w:val="0000" w:firstRow="0" w:lastRow="0" w:firstColumn="0" w:lastColumn="0" w:noHBand="0" w:noVBand="0"/>
      </w:tblPr>
      <w:tblGrid>
        <w:gridCol w:w="4219"/>
      </w:tblGrid>
      <w:tr w:rsidR="00A46975">
        <w:tc>
          <w:tcPr>
            <w:tcW w:w="4219" w:type="dxa"/>
          </w:tcPr>
          <w:p w:rsidR="00A46975" w:rsidRDefault="000F0272">
            <w:pPr>
              <w:jc w:val="center"/>
              <w:rPr>
                <w:b/>
                <w:i/>
                <w:sz w:val="28"/>
              </w:rPr>
            </w:pPr>
            <w:r>
              <w:rPr>
                <w:b/>
                <w:i/>
                <w:sz w:val="28"/>
              </w:rPr>
              <w:t>Объемная пластика</w:t>
            </w:r>
          </w:p>
        </w:tc>
      </w:tr>
      <w:tr w:rsidR="00A46975">
        <w:tc>
          <w:tcPr>
            <w:tcW w:w="4219" w:type="dxa"/>
          </w:tcPr>
          <w:p w:rsidR="00A46975" w:rsidRDefault="000F0272">
            <w:pPr>
              <w:jc w:val="center"/>
              <w:rPr>
                <w:b/>
                <w:i/>
                <w:sz w:val="28"/>
              </w:rPr>
            </w:pPr>
            <w:r>
              <w:rPr>
                <w:b/>
                <w:i/>
                <w:sz w:val="28"/>
              </w:rPr>
              <w:t>«Пастух с овечками»</w:t>
            </w:r>
          </w:p>
        </w:tc>
      </w:tr>
      <w:tr w:rsidR="00A46975">
        <w:tc>
          <w:tcPr>
            <w:tcW w:w="4219" w:type="dxa"/>
          </w:tcPr>
          <w:p w:rsidR="00A46975" w:rsidRDefault="000F0272">
            <w:pPr>
              <w:jc w:val="center"/>
              <w:rPr>
                <w:b/>
                <w:sz w:val="28"/>
              </w:rPr>
            </w:pPr>
            <w:r>
              <w:rPr>
                <w:b/>
                <w:sz w:val="28"/>
              </w:rPr>
              <w:t>Щербина Ольга 10-В</w:t>
            </w:r>
          </w:p>
        </w:tc>
      </w:tr>
      <w:tr w:rsidR="00A46975">
        <w:tc>
          <w:tcPr>
            <w:tcW w:w="4219" w:type="dxa"/>
          </w:tcPr>
          <w:p w:rsidR="00A46975" w:rsidRDefault="00A46975">
            <w:pPr>
              <w:jc w:val="center"/>
              <w:rPr>
                <w:sz w:val="28"/>
              </w:rPr>
            </w:pPr>
          </w:p>
        </w:tc>
      </w:tr>
      <w:tr w:rsidR="00A46975">
        <w:tc>
          <w:tcPr>
            <w:tcW w:w="4219" w:type="dxa"/>
          </w:tcPr>
          <w:p w:rsidR="00A46975" w:rsidRDefault="000F0272">
            <w:pPr>
              <w:jc w:val="center"/>
              <w:rPr>
                <w:b/>
                <w:i/>
                <w:sz w:val="28"/>
              </w:rPr>
            </w:pPr>
            <w:r>
              <w:rPr>
                <w:b/>
                <w:i/>
                <w:sz w:val="28"/>
              </w:rPr>
              <w:t>Объемная пластика</w:t>
            </w:r>
          </w:p>
        </w:tc>
      </w:tr>
      <w:tr w:rsidR="00A46975">
        <w:tc>
          <w:tcPr>
            <w:tcW w:w="4219" w:type="dxa"/>
          </w:tcPr>
          <w:p w:rsidR="00A46975" w:rsidRDefault="000F0272">
            <w:pPr>
              <w:jc w:val="center"/>
              <w:rPr>
                <w:b/>
                <w:i/>
                <w:sz w:val="28"/>
              </w:rPr>
            </w:pPr>
            <w:r>
              <w:rPr>
                <w:b/>
                <w:i/>
                <w:sz w:val="28"/>
              </w:rPr>
              <w:t>«Яблоня»</w:t>
            </w:r>
          </w:p>
        </w:tc>
      </w:tr>
      <w:tr w:rsidR="00A46975">
        <w:tc>
          <w:tcPr>
            <w:tcW w:w="4219" w:type="dxa"/>
          </w:tcPr>
          <w:p w:rsidR="00A46975" w:rsidRDefault="000F0272">
            <w:pPr>
              <w:jc w:val="center"/>
              <w:rPr>
                <w:b/>
                <w:sz w:val="28"/>
              </w:rPr>
            </w:pPr>
            <w:r>
              <w:rPr>
                <w:b/>
                <w:sz w:val="28"/>
              </w:rPr>
              <w:t>Щербина Ольга 10-В</w:t>
            </w:r>
          </w:p>
        </w:tc>
      </w:tr>
      <w:tr w:rsidR="00A46975">
        <w:tc>
          <w:tcPr>
            <w:tcW w:w="4219" w:type="dxa"/>
          </w:tcPr>
          <w:p w:rsidR="00A46975" w:rsidRDefault="00A46975">
            <w:pPr>
              <w:jc w:val="center"/>
              <w:rPr>
                <w:b/>
                <w:sz w:val="28"/>
              </w:rPr>
            </w:pPr>
          </w:p>
        </w:tc>
      </w:tr>
      <w:tr w:rsidR="00A46975">
        <w:tc>
          <w:tcPr>
            <w:tcW w:w="4219" w:type="dxa"/>
          </w:tcPr>
          <w:p w:rsidR="00A46975" w:rsidRDefault="000F0272">
            <w:pPr>
              <w:jc w:val="center"/>
              <w:rPr>
                <w:b/>
                <w:i/>
                <w:sz w:val="28"/>
              </w:rPr>
            </w:pPr>
            <w:r>
              <w:rPr>
                <w:b/>
                <w:i/>
                <w:sz w:val="28"/>
              </w:rPr>
              <w:t>Объемная пластика</w:t>
            </w:r>
          </w:p>
        </w:tc>
      </w:tr>
      <w:tr w:rsidR="00A46975">
        <w:tc>
          <w:tcPr>
            <w:tcW w:w="4219" w:type="dxa"/>
          </w:tcPr>
          <w:p w:rsidR="00A46975" w:rsidRDefault="000F0272">
            <w:pPr>
              <w:jc w:val="center"/>
              <w:rPr>
                <w:b/>
                <w:i/>
                <w:sz w:val="28"/>
              </w:rPr>
            </w:pPr>
            <w:r>
              <w:rPr>
                <w:b/>
                <w:i/>
                <w:sz w:val="28"/>
              </w:rPr>
              <w:t>«Птичница»</w:t>
            </w:r>
          </w:p>
        </w:tc>
      </w:tr>
      <w:tr w:rsidR="00A46975">
        <w:tc>
          <w:tcPr>
            <w:tcW w:w="4219" w:type="dxa"/>
          </w:tcPr>
          <w:p w:rsidR="00A46975" w:rsidRDefault="000F0272">
            <w:pPr>
              <w:jc w:val="center"/>
              <w:rPr>
                <w:b/>
                <w:sz w:val="28"/>
              </w:rPr>
            </w:pPr>
            <w:r>
              <w:rPr>
                <w:b/>
                <w:sz w:val="28"/>
              </w:rPr>
              <w:t>Щербина Ольга 10-В</w:t>
            </w:r>
          </w:p>
        </w:tc>
      </w:tr>
      <w:tr w:rsidR="00A46975">
        <w:tc>
          <w:tcPr>
            <w:tcW w:w="4219" w:type="dxa"/>
          </w:tcPr>
          <w:p w:rsidR="00A46975" w:rsidRDefault="00A46975">
            <w:pPr>
              <w:jc w:val="center"/>
              <w:rPr>
                <w:b/>
                <w:sz w:val="28"/>
              </w:rPr>
            </w:pPr>
          </w:p>
        </w:tc>
      </w:tr>
    </w:tbl>
    <w:p w:rsidR="00A46975" w:rsidRDefault="00A46975">
      <w:pPr>
        <w:rPr>
          <w:sz w:val="28"/>
        </w:rPr>
      </w:pPr>
      <w:bookmarkStart w:id="0" w:name="_GoBack"/>
      <w:bookmarkEnd w:id="0"/>
    </w:p>
    <w:sectPr w:rsidR="00A4697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272"/>
    <w:rsid w:val="000F0272"/>
    <w:rsid w:val="00A46975"/>
    <w:rsid w:val="00D04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DEA79C-E18E-4683-B4FC-4A1DFA1E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2467</Words>
  <Characters>14068</Characters>
  <Application>Microsoft Office Word</Application>
  <DocSecurity>0</DocSecurity>
  <Lines>117</Lines>
  <Paragraphs>33</Paragraphs>
  <ScaleCrop>false</ScaleCrop>
  <Company>Горбачев - фонд</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Москоская Академия предпринимательства при привительстве г</dc:title>
  <dc:subject/>
  <dc:creator>ELENA</dc:creator>
  <cp:keywords/>
  <dc:description/>
  <cp:lastModifiedBy>admin</cp:lastModifiedBy>
  <cp:revision>2</cp:revision>
  <cp:lastPrinted>2000-02-08T12:56:00Z</cp:lastPrinted>
  <dcterms:created xsi:type="dcterms:W3CDTF">2014-02-06T17:58:00Z</dcterms:created>
  <dcterms:modified xsi:type="dcterms:W3CDTF">2014-02-06T17:58:00Z</dcterms:modified>
</cp:coreProperties>
</file>