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16" w:rsidRPr="000E4CDD" w:rsidRDefault="009E1E16" w:rsidP="009E1E16">
      <w:pPr>
        <w:spacing w:before="120"/>
        <w:jc w:val="center"/>
        <w:rPr>
          <w:b/>
          <w:bCs/>
          <w:sz w:val="32"/>
          <w:szCs w:val="32"/>
        </w:rPr>
      </w:pPr>
      <w:r w:rsidRPr="000E4CDD">
        <w:rPr>
          <w:b/>
          <w:bCs/>
          <w:sz w:val="32"/>
          <w:szCs w:val="32"/>
        </w:rPr>
        <w:t xml:space="preserve">Что и как изучает история? </w:t>
      </w:r>
    </w:p>
    <w:p w:rsidR="009E1E16" w:rsidRPr="000E4CDD" w:rsidRDefault="009E1E16" w:rsidP="009E1E16">
      <w:pPr>
        <w:spacing w:before="120"/>
        <w:ind w:firstLine="567"/>
        <w:jc w:val="both"/>
        <w:rPr>
          <w:sz w:val="28"/>
          <w:szCs w:val="28"/>
        </w:rPr>
      </w:pPr>
      <w:r w:rsidRPr="000E4CDD">
        <w:rPr>
          <w:sz w:val="28"/>
          <w:szCs w:val="28"/>
        </w:rPr>
        <w:t xml:space="preserve">Кузьмин А. Г. </w:t>
      </w:r>
    </w:p>
    <w:p w:rsidR="009E1E16" w:rsidRPr="009748E2" w:rsidRDefault="009E1E16" w:rsidP="009E1E16">
      <w:pPr>
        <w:spacing w:before="120"/>
        <w:ind w:firstLine="567"/>
        <w:jc w:val="both"/>
      </w:pPr>
      <w:r w:rsidRPr="009748E2">
        <w:t xml:space="preserve">“История - наставница жизни”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Цицерон</w:t>
      </w:r>
      <w:r>
        <w:t xml:space="preserve"> </w:t>
      </w:r>
    </w:p>
    <w:p w:rsidR="009E1E16" w:rsidRPr="009748E2" w:rsidRDefault="009E1E16" w:rsidP="009E1E16">
      <w:pPr>
        <w:spacing w:before="120"/>
        <w:ind w:firstLine="567"/>
        <w:jc w:val="both"/>
      </w:pPr>
      <w:r w:rsidRPr="009748E2">
        <w:t>“Можно не знать, не чувствовать влечения к</w:t>
      </w:r>
      <w:r>
        <w:t xml:space="preserve"> </w:t>
      </w:r>
      <w:r w:rsidRPr="009748E2">
        <w:t>изучению математики, греческого и латинского</w:t>
      </w:r>
      <w:r>
        <w:t xml:space="preserve"> </w:t>
      </w:r>
      <w:r w:rsidRPr="009748E2">
        <w:t>языков, химии, можно не знать тысячи наук, и</w:t>
      </w:r>
      <w:r>
        <w:t xml:space="preserve"> </w:t>
      </w:r>
      <w:r w:rsidRPr="009748E2">
        <w:t>все-таки быть образованным человеком; но не любить истории может только человек, совершенно неразвитый умственно”.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Н.Г. Чернышевский.</w:t>
      </w:r>
      <w:r>
        <w:t xml:space="preserve"> </w:t>
      </w:r>
    </w:p>
    <w:p w:rsidR="009E1E16" w:rsidRPr="009748E2" w:rsidRDefault="009E1E16" w:rsidP="009E1E16">
      <w:pPr>
        <w:spacing w:before="120"/>
        <w:ind w:firstLine="567"/>
        <w:jc w:val="both"/>
      </w:pPr>
      <w:r w:rsidRPr="009748E2">
        <w:t>“Мы знаем</w:t>
      </w:r>
      <w:r>
        <w:t xml:space="preserve"> </w:t>
      </w:r>
      <w:r w:rsidRPr="009748E2">
        <w:t xml:space="preserve">только одну-единственную науку - науку истории”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К. Маркс, Ф. Энгельс</w:t>
      </w:r>
      <w:r>
        <w:t xml:space="preserve"> </w:t>
      </w:r>
    </w:p>
    <w:p w:rsidR="009E1E16" w:rsidRPr="009748E2" w:rsidRDefault="009E1E16" w:rsidP="009E1E16">
      <w:pPr>
        <w:spacing w:before="120"/>
        <w:ind w:firstLine="567"/>
        <w:jc w:val="both"/>
      </w:pPr>
      <w:r w:rsidRPr="009748E2">
        <w:t xml:space="preserve">“Быстрое накопление знаний, приобретаемых при слишком малом самостоятельном участии, не очень плодотворно... </w:t>
      </w:r>
    </w:p>
    <w:p w:rsidR="009E1E16" w:rsidRPr="009748E2" w:rsidRDefault="009E1E16" w:rsidP="009E1E16">
      <w:pPr>
        <w:spacing w:before="120"/>
        <w:ind w:firstLine="567"/>
        <w:jc w:val="both"/>
      </w:pPr>
      <w:r w:rsidRPr="009748E2">
        <w:t>Напротив, то,</w:t>
      </w:r>
      <w:r>
        <w:t xml:space="preserve"> </w:t>
      </w:r>
      <w:r w:rsidRPr="009748E2">
        <w:t>до чегочеловек должен дойти своим умом, оставляет</w:t>
      </w:r>
      <w:r>
        <w:t xml:space="preserve"> </w:t>
      </w:r>
      <w:r w:rsidRPr="009748E2">
        <w:t>в его рассудке след, по которому он может</w:t>
      </w:r>
      <w:r>
        <w:t xml:space="preserve"> </w:t>
      </w:r>
      <w:r w:rsidRPr="009748E2">
        <w:t>идти и при других обстоятельствах”.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Г.К. Лихтенберг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Вынесенное в эпиграф высказывание Н.Г. Чернышевского не дает и не предполагает определения предмета истории. Автор исходит из другого своего убеждения: “как не возвышенно зрелище небесных тел, как ни восхитительны величественные или очаровательные картины природы, - заключал он, - человек важнее, интереснее всего для человека. Потому, как не высок интерес, возбуждаемый астрономией, как ни привлекательны естественные науки, - важнейшею, коренною наукой остается и останется наука о человеке” - в данном случае история мыслится как важнейшая из социальных наук, хотя человек</w:t>
      </w:r>
      <w:r>
        <w:t xml:space="preserve"> </w:t>
      </w:r>
      <w:r w:rsidRPr="009748E2">
        <w:t>-</w:t>
      </w:r>
      <w:r>
        <w:t xml:space="preserve"> </w:t>
      </w:r>
      <w:r w:rsidRPr="009748E2">
        <w:t>это тоже порождение природы.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 мире много веков идет борьба двух принципов: приоритет общественного или частного. На “общественных интересах” спекулировали деспоты и диктаторы, а “суверенитет личности” вел и ведет к войне всех против всех, и в конечном счете, как ни парадоксально, к разрушению самой личности. Чернышевский, видимо, считал само собою разумеющимся понимание социальной природы сущности человека: сущность человека - это преломление в нем совокупности социальных отношений. Этим он и отличается от животного мира, и, как правило, разрушение общества ведет к разрушению человека как общественного существа. Древние римляне, утверждая приоритет общественного, исходили из того, что по своей биологической природе “человек человеку – волк” (“Homo homini - lupus est”). Из этого же исходили английские философы XVII века Т. Гоббс и (отчасти) Д. Локк, настаивая на приоритете государства, задача которого состоит в сдерживании природных пороков индивида.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Комплекс общественных наук - это</w:t>
      </w:r>
      <w:r>
        <w:t xml:space="preserve"> </w:t>
      </w:r>
      <w:r w:rsidRPr="009748E2">
        <w:t>философия и социология, языкознание и этнография, литературоведение и искусствоведение, правоведение, экономика, и ряд других более частных наук. Слово “история” сочетается с ними со всеми как отдельная отрасль той или иной науки. Но смысл этого обозначения чаще всего сводится лишь к хронологии, а потому и история как наука остается за пределами изучения. С другой стороны, наука истории пользуется материалами всех перечисленных и многих неназванных наук. Но плодотворность таких заимствований во многом, если не в основном, зависит от определения самого предмета науки истории. Определение предмета - основа самосознания и важнейшее звено методологии любой науки.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 литературе встречается несколько десятков определений предмета истории. Этот разнобой проникает и в учебные пособия. При этом чаще всего встречается определение истории, как “науки о прошлом”. Но объект изучения и предмет - понятия существенно разные. История изучает не “прошлое” как таковое: это и невозможно и ненужно. Предметом же любой науки являются те или иные закономерности. Очевидно, что предметом науки истории могут быть только закономерности развития общества, естественно, с учетом влияния природных условий и их изменения в пространстве и времени.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Разнобой в литературе проистекает из следования тем или иным философским школам. Смешение объекта и предмета характерно для позитивизма - самого распространенного до сих пор течения в науке и самом обыденном мировоззрении, ориентированном на “суверенитет личности”. Позитивизм (“положительное знание”) кладет в основу исследования факты, понятые как прямые указания источников. В результате история вообще исключается из числа наук, отыскивающих какие-либо закономерности.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 конце XIX века определенной альтернативой позитивизму становится неокантиантство (по имени И. Канта - родоначальника немецкого классического идеализма). В отличие от позитивизма,</w:t>
      </w:r>
      <w:r>
        <w:t xml:space="preserve"> </w:t>
      </w:r>
      <w:r w:rsidRPr="009748E2">
        <w:t>неокантиантство уделяло значительное место методу познания, а также ценностному подходу. Но сам этот метод основывался на вековой практике позитивизма, а характерные для Канта элементы диалектики были утрачены. К тому же многие важные проблемы закрывались как</w:t>
      </w:r>
      <w:r>
        <w:t xml:space="preserve"> </w:t>
      </w:r>
      <w:r w:rsidRPr="009748E2">
        <w:t>“непознаваемые”. И они действительно становились непознаваемыми в рамках избранного метода.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 философской литературе позитивизм и неокантиантство характеризуются как разновидности “субъективного идеализма” (в отличие от “объективного идеализма” Гегеля и его последователей). Как это не покажется странным, но “субъективный идеализм” преобладал в социальных науках и политике советского периода, в том числе и в работах по отечественной истории, хотя на словах в этих работах мы найдем клятвы в “верности диалектическому материализму”.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Позитивизм и некантианство господствовали в русской исторической науке</w:t>
      </w:r>
      <w:r>
        <w:t xml:space="preserve"> </w:t>
      </w:r>
      <w:r w:rsidRPr="009748E2">
        <w:t>конца XIX - начала XX столетия. Разновидность позитивизма (“махизм”) в начале века пропагандировалась А.А. Богдановым (Малиновским) и рядом других социал-демократов (включая будущих членов Политбюро ВКПб). Неокантианство</w:t>
      </w:r>
      <w:r>
        <w:t xml:space="preserve"> </w:t>
      </w:r>
      <w:r w:rsidRPr="009748E2">
        <w:t>также привлекало внимание</w:t>
      </w:r>
      <w:r>
        <w:t xml:space="preserve"> </w:t>
      </w:r>
      <w:r w:rsidRPr="009748E2">
        <w:t>социально-политических деятелей (именно вниманием к системам ценностей). Неокантианцами были “легальные марксисты” и многие члены II интернационала.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Позитивизму и неокантианству противостояла диалектическая логика в гегелевском (идеалистическом) и марксистском (диалектический материализм) вариантах. Особое место занимала и занимает христианская диалектика, акцентирующая внимание на ценностном содержании изучаемого вопроса.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Наиболее полное знание о закономерностях исторического развития дает диалектический подход. Диалектическая логика в гегелевском (идеалистическом) и марксистском (диалектический материализм) вариантах с самого начала противостояла и позитивизму и неокантианству. Особое место занимала и занимает христианская диалектика, акцентирующая внимание на ценностном содержании изучаемого вопроса.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Суть диалектики, как логики и метода познания достаточно проста: мир изначально противоречив, все в мире находится в постоянном изменении и развитии, и все в мире находится во взаимосвязи и взаимообусловленности. В рамках диалектики признается принципиальная познаваемость объективной, вне нас существующей реальности, но достигнутое знание считается относительным - бесконечность мира предполагает и бесконечность познания.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Изучение истории на основе диалектического метода невозможно без обращения к социологии.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Роль “научной социологии” у нас длительное время выполнял “исторический материализм”, который родился в кругах социал-демократов-позитивистов начала XX века и перешел в учебные программы вузов советского времени. “Исторический материализм” претендовал на роль “метода” исторической науки, но сам был лишен метода</w:t>
      </w:r>
      <w:r>
        <w:t xml:space="preserve"> </w:t>
      </w:r>
      <w:r w:rsidRPr="009748E2">
        <w:t>(таковой остался в диалектическом материализме в качестве “теории познания”), а фактический материал заимствовал у исторической науки. Само определение предмета как “науки о наиболее общих законах развития общества” делало его паразитарным привеском к исторической науке, а притязания на роль указующего “метода” обрекали историю на роль толкователя этого “метода”.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Предметом социологии является изучение соотношения разных сторон общественного организма, а также - что не менее важно - взаимодействие общественного бытия и общественного сознания. Исторические и социологические законы тесно переплетаются и практически одни без других не существуют. Часто один и тот же закон выступает в обоих качествах. В свое время В.Н. Татищев открыл исторический закон: “ремесла причина городов”. Но это и социологический закон, выражающий отношение между</w:t>
      </w:r>
      <w:r>
        <w:t xml:space="preserve"> </w:t>
      </w:r>
      <w:r w:rsidRPr="009748E2">
        <w:t>ремеслом и городом как формой организации. Подобным образом возникновение классов порождает государство, и государство является формой, соответствующей обществу, расколотому на противоборствующие классы. Родовая и территориальная общины – социальные организмы, исследуемые социологией. Но переход от первой ко второй – историческая закономерность. При этом многообразие и противоречивость проявления закономерности видны уже из того, что переход от одной стадии к другой у народов совершается не только в разное время (от эпохи бронзы до нашего столетия), но и на различных стадиях хозяйственного развития.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Для историка необходимо активное владение достижениями социологии, а социологам столь же важно учитывать достижения исторической науки. Историку постоянно приходится обращаться к социологии, перенося методы и принципы этой науки в разные изучаемые эпохи, а социолог не поймет сути взаимосвязей и взаимообусловленностей, не уяснив их происхождения. Сложность заключается в необходимости перерабатывать огромный историко-философский и фактический материал. Только при этом условии обозначенные выше постулаты диалектики явятся надежным методологическим фундаментом.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Работы историков-позитивистов чаще всего страдают описательностью. Они</w:t>
      </w:r>
      <w:r>
        <w:t xml:space="preserve"> </w:t>
      </w:r>
      <w:r w:rsidRPr="009748E2">
        <w:t>полезны как сводка определенного источникового и фактического материала. Но факты в них обычно не ведут к пониманию процессов и закономерностей развития, тем более, что такая задача в позитивизме чаще всего и не ставится. Избегают позитивисты и оценок, считая оценки признаком субъективизма. На самом деле именно отказ от систем ценностей ведет к субъективизму: автор невольно проводит свои взгляды, нигде не давая им обоснования.</w:t>
      </w:r>
      <w:r>
        <w:t xml:space="preserve"> </w:t>
      </w:r>
    </w:p>
    <w:p w:rsidR="009E1E16" w:rsidRPr="009748E2" w:rsidRDefault="009E1E16" w:rsidP="009E1E16">
      <w:pPr>
        <w:spacing w:before="120"/>
        <w:ind w:firstLine="567"/>
        <w:jc w:val="both"/>
      </w:pPr>
      <w:r w:rsidRPr="009748E2">
        <w:t>Надо иметь в виду и то, что понятие “факт” в позитивизме и диалектическом материализме (как и в иных формах диалектической</w:t>
      </w:r>
      <w:r>
        <w:t xml:space="preserve"> </w:t>
      </w:r>
      <w:r w:rsidRPr="009748E2">
        <w:t>методологии) имеет разное наполнение. В позитивизме “факт” - нечто непосредственно осязаемое: вещь, запись в источнике. “То, что не может быть познаваемо, не может быть и предметом науки, как, например, мир сущностей, противоположный миру явлений”, - писал известный русский историк Н.И. Кареев. По мнению автора, “то, что составляет предмет истории, не выходит за пределы мира явлений”. А в диалектике “фактом” является и определенный процесс, и связи между разными сторонами общественного организма, включая</w:t>
      </w:r>
      <w:r>
        <w:t xml:space="preserve"> </w:t>
      </w:r>
      <w:r w:rsidRPr="009748E2">
        <w:t>глобальную проблему закономерной взаимосвязи общественного бытия и общественного сознания. Более того, именно отыскание тех или иных связей и закономерностей обычно и является исследовательской проблемой историков-диалектиков.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Поскольку любое историческое исследование строится на определенном круге источников, существенно различие в понимании предмета источниковедения. В позитивистских работах (включая и учебные пособия) обычно дается простое описание источников (с полезными самими по себе описаниями фондов хранения, внешнего вида рукописей и т.п.). В диалектике центр тяжести переносится на закономерности отложения источников и отражения в них объективной реальности. Иными словами, не только источник дает информацию об эпохе, но и эпоха - по данным других источников и как звено процесса развития - помогает понять источник. И особое внимание необходимо обращать на разночтения в источниках, поскольку за ними часто стоят большие политические события и конфликты.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Многие дискуссии последних двух столетий связаны именно с разным пониманием сути привлекаемых источников. Русское летописание X – XVII вв. - уникальное явление в мировой истории и культуре. Но в практике исследований все еще не изжит “шлецеровский” подход, восходящий к работе А. Шлецера конца XVIII - начала XIX века о “Несторе”: представление о летописании как едином “древе”. Так понимал летописание и один из наиболее авторитетных его исследователей А.А. Шахматов (1864 - 1920), на протяжении многих лет пытавшийся реконструировать это изначальное “древо” и лишь в конце жизни осознавший, что такого “древа” просто не могло быть. Летописание - это и идеология, и политика, и неизбежная борьба интересов. А это предполагает и тенденциозность летописцев, отстаивающих интересы князя, города, монастыря, и прямое уничтожение нежелательных для кого-то сведений. Яркий пример двухвекового заблуждения - третирование и даже травля первого русского историка - В.Н. Татищева (1686 - 1750). До самого недавнего времени его обвиняли в фальсификация на том основании, что в его “Истории” содержится большое число сведений, которых нет в Лаврентьевской и Ипатьевской летописях, по которым обычно издается “Повесть временных лет” в качестве первого летописного памятника. А Татищев не знал ни той, ни другой летописи, но зато в его распоряжении были другие летописи, которые давали иную интерпретацию многих событий, и он вполне профессионально представил их в своем труде. Татищев практически не имел доступа к центральным книгохранилищам, а на окраинах, где ему приходилось трудиться, уникальную рукопись можно было купить на рынке. Хранителями рукописных собраний обычно были раскольники, и один из главных его источников - “Раскольничья летопись”, близкая к “Ипатьевской”, но явно ей предшествующая. Другой уникальный источник - “Ростовская летопись”, которую Татищев подарил Английскому академическому собранию и она либо пропала, либо еще не найдена. К сожалению не дошли до нас и другие источники, которыми пользовался Татищев.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Следует считаться и с тем обстоятельством, что большинство сохранившихся летописей - это своды разнообразных материалов, в том числе предшествующих летописей. Составители позднейших сводов соединяли разные материалы либо удовлетворяя собственное любопытство, либо переписывая их по чьему-то заказу. Очень часто они редактировали тексты имеющихся у них в распоряжении древних рукописей. Но не менее часто составители сводов слово в слово переносили древнейшие сведения в свои рукописи. Практически это означало, что в позднейших рукописях - летописных сводах - могли сохраниться более достоверные и ранние материалы, нежели в самых ранних рукописях. Так, древнейшие новгородские летописи почти ничего не сообщают о времени Ярослава Мудрого. А в сводах XV века используется какой-то новгородский источник, которого древнейшие летописи не знают.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Те же причины и споров вокруг “Слова о полку Игореве”. В поэме содержится совершенно иная информация, нежели в известных нам летописях. И на этом основании шедевр мировой литературы некоторые авторы объявили</w:t>
      </w:r>
      <w:r>
        <w:t xml:space="preserve"> </w:t>
      </w:r>
      <w:r w:rsidRPr="009748E2">
        <w:t>подделкой. А объяснить надо на каких источниках и в рамках каких традиций создавалось это поэтическое творение. Поэма явно опиралась на устную поэтическую традицию, которая в летописях вообще слабо отражена из-за ее языческой окраски, и ориентирована она на события в Причерноморье (ни Рюрика, ни бога Перуна “Слово” не знает).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Актовый материал для восприятия проще: в нем обычно фиксируется конкретная практика судопроизводства и пожалований. Но и в этом случае необходимо учитывать территориальные и хронологические рамки действия тех или иных установлений. Пожалования в эпоху феодализма</w:t>
      </w:r>
      <w:r>
        <w:t xml:space="preserve"> </w:t>
      </w:r>
      <w:r w:rsidRPr="009748E2">
        <w:t>ориентированы на</w:t>
      </w:r>
      <w:r>
        <w:t xml:space="preserve"> </w:t>
      </w:r>
      <w:r w:rsidRPr="009748E2">
        <w:t>определенные территории, а “Земля” по большей части продолжала жить по своим традиционным правилам, следуя так называемому “обычному праву”.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Важнейшая проблема для каждого исследователя – история и современность. Еще римский мыслитель Цицерон подчеркивал на практическую пользу истории. Н.Г. Чернышевский указывал, прежде всего, на значение истории для воспитания гражданина Отечества. Советский историк М.Н. Покровский в 20-е годы XX века вообще употребит формулу: “история - политика, опрокинутая в прошлое”. Ныне, с одной стороны, на историю ополчаются (как, впрочем, и в 20-е годы, когда особенно популярен был Покровский) как на ненужный и даже вредный предмет, который надо исключить из школьных программ. С другой стороны, книжный рынок заполняют совершенно фантастическими, ни на чем не основанными материалами и концепциями (например, книги Фоменко и Носовского о “новой хронологии истории”, книги Асова о “русских ведах” и др.).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Конечно, все это к науке истории отношения не имеет. Но в этом косвенно сказывается понимание ее важности для современности. И в конечном счете, история нужна для понимания современности, ибо все значимые процессы уходят в более или менее далекое прошлое. Можно сказать, что без истории современности не понять. Именно современность обычно задает вопросы истории и историкам. Но надо иметь в виду, что острота проблем увеличивает опасность ухода от истины в сторону исполнения социальных заказов. Для общества же в целом нужна только истинная история, объяснение, в том числе разного рода негативных процессов. А истинная наука возможна лишь при истинном методе.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Предметом науки истории являются закономерности развития общественного организма. Закономерности, естественно, выявляются лишь при анализе более или менее длительных периодов истории.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Различия между позитивистским и диалектическим подходом проявляются уже в самом определении предмета конкретного исследования. При позитивистском подходе исследование идет “от источника”. Наличие необработанного фонда часто оказывается мотивом для выбора темы работы, независимо от того, дает ли что-нибудь такое исследование.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 рамках диалектического метода исследование может начинаться только с проблемы. Диалектика познания заключается, прежде всего, в том, что исследователь включается в процесс, начало которому положено с зарождением самого человечества.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 свое время И. Кант сформулировал тезис об “априорном”, внеопытном знании, свойственном человеческому сознанию. Именно “априоризм” вызывал особенно негативную реакцию позитивистов. В относительно недавней литературе природа “априоризма” разъяснена. Это, по выражению польского ученого Е. Топольского, “внеисточниковое” знание, знание, унаследованное от прошлых поколений, и не всегда осознанное даже профессиональным ученым. Разновидностью такого знания является художественный образ и то, что в науке называется интуицией.</w:t>
      </w:r>
      <w:r>
        <w:t xml:space="preserve"> </w:t>
      </w:r>
      <w:r w:rsidRPr="009748E2">
        <w:t>Чаще всего “априорное” знание оказывается в сфере теоретического и концептуального, причем объяснение его потребует привлечения смежных наук, прежде всего, социологии. “Априорное” знание - это проблема, перешедшая от прошлых поколений, может быть очень далеких. И успех в прояснении этого знания в огромной степени будет зависеть от формулирования проблемы.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Социальное знание содержит противоречия, связанные и с противоречивостью действительности нас окружающей, и с противоречиями, возникающими или обнаруживаемыми в ходе познания. И действительность, и познание закономерно порождают все новые и новые проблемы, которые, прежде всего, и стимулируют процесс познания. “Мелкотемье”, в котором справедливо упрекали историков философы, невозможно, если речь идет о поисках решения вопроса, уже поставленного предшествующим развитием науки или противоречиями самой окружающей нас действительности.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Формулирование вопроса (иначе говоря, постановка проблемы) - самый ответственный</w:t>
      </w:r>
      <w:r>
        <w:t xml:space="preserve"> </w:t>
      </w:r>
      <w:r w:rsidRPr="009748E2">
        <w:t>этап любого исследования, Слова К. Маркса о том, что “правильная постановка вопроса есть его решение” - не преувеличение. После того как вопрос сформулирован, гораздо экономнее и целенаправленней осуществляется сбор фактов и обнаруживаются новые связи в давно известных системах фактов. При этом всякое новое знание</w:t>
      </w:r>
      <w:r>
        <w:t xml:space="preserve"> </w:t>
      </w:r>
      <w:r w:rsidRPr="009748E2">
        <w:t>немедленно пополняет запас “внеисточникового”, и оно начинает работать с более высокой отметки. Другое дело, что правильно поставить вопрос можно только после основательного его изучения.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Структурно введение работы обычно открывается обозначением темы - объекта исследования. Обзор работ предшественников вскрывает спорные вопросы. Акцент обычно делается на тех разноречиях, которые автор собирается разрешить или объяснить. И надо иметь в виду, что, как отметил еще Гете, между противоположными мнениями находится не истина, а проблема (истина может оказаться вообще за пределами этих мнений). Именно формулировкой проблемы заканчивается обзор литературы. А далее пишущий поясняет, на каком источниковом и внеисточниковом (теоретическом, концептуальном) материале он намерен строить свои заключения.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Историческое знание предполагает</w:t>
      </w:r>
      <w:r>
        <w:t xml:space="preserve"> </w:t>
      </w:r>
      <w:r w:rsidRPr="009748E2">
        <w:t>лишь более или менее осмысленное запоминание. Овладение наукой требует обязательного соучастия. Поэтому для изучения истории необходимо четко сформулированная система ценностей, которой придерживается исследователь.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Например, до сих пор одним из важнейших ценностных понятий является понятие прогресса. Обычно прогресс связывают лишь с “развитием производительных сил”. Но для исторического изучения жизни общества этого явно недостаточно. Поэтому необходимо дополнение: рост материальных благ общества. Но общество живет не только материальными заботами. Более того, сама сущность человека, как главного элемента истории, предполагает приоритет духовных ценностей. А потому, когда мы рассуждаем о прогрессе, следует говорить о росте материальных и духовных благ общества.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Прогресс, очевидно, должен включать и принцип социальной справедливости: распределение благ согласно реальным трудовым затратам, согласно количеству и качеству труда. Добиться идеальной социальной справедливости</w:t>
      </w:r>
      <w:r>
        <w:t xml:space="preserve"> </w:t>
      </w:r>
      <w:r w:rsidRPr="009748E2">
        <w:t>человечеству пока еще не удавалось: в бесклассовом обществе ущемлялись наиболее энергичные его члены, в классовом же -</w:t>
      </w:r>
      <w:r>
        <w:t xml:space="preserve"> </w:t>
      </w:r>
      <w:r w:rsidRPr="009748E2">
        <w:t>неизбежна эксплуатация</w:t>
      </w:r>
      <w:r>
        <w:t xml:space="preserve"> </w:t>
      </w:r>
      <w:r w:rsidRPr="009748E2">
        <w:t>работников работодателями. Но за социальную справедливость всегда боролись униженные и неполноправные, а “мировые религии” на первый план выносили именно определенным образом понятые принципы социальной справедливости.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И наконец, еще одна важнейшая характеристика прогресса - обеспечение дальнейшего развития. Исстари известно, что заработанное делится на три части: родителям, детям и себе. Но в разные периоды общество этим принципом пренебрегает, растрачивая ранее накопленное и расходуя те запасы, которые должны перейти к следующим поколениям. Такой “потребительский” подход, очевидно, не укладывается в понятие “прогресса”, даже если на какое-то время достигается подъем материальных благ.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Нетрудно заметить, что ни в одну эпоху мы не найдем реализации четырех названных требований к сущности прогресса в их совокупности. Всегда чего-то да не хватает. В прогрессе в целом</w:t>
      </w:r>
      <w:r>
        <w:t xml:space="preserve"> </w:t>
      </w:r>
      <w:r w:rsidRPr="009748E2">
        <w:t>заинтересовано каждое конкретное общество, но всегда есть и силы в нем не заинтересованные, поскольку “на их век хватит”. Поэтому прогресс во все времена существует как тенденция. С точки зрения этой тенденции и следует оценивать деятельность исторических персонажей, сущность тех или иных исторических событий, периодов развития в истории и т.д.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Разумеется, система ценностей - это тоже проблема, решение которой зависит от избранной методологии, от нравственных принципов. Недаром, в историографии существует столь много точек зрения на понимание сущности прогресса.</w:t>
      </w:r>
      <w:r>
        <w:t xml:space="preserve"> </w:t>
      </w:r>
    </w:p>
    <w:p w:rsidR="009E1E16" w:rsidRDefault="009E1E16" w:rsidP="009E1E16">
      <w:pPr>
        <w:spacing w:before="120"/>
        <w:ind w:firstLine="567"/>
        <w:jc w:val="both"/>
      </w:pPr>
      <w:r w:rsidRPr="009748E2">
        <w:t>В рамках этой проблемы не так давно обсуждался “принцип партийности”, который чаще всего понимался не как методологическая, а как политическая категория. (Поэтому часто встречалось словосочетание “научность и партийность“). Между тем, этот принцип зародился еще у философов XVII - XVIII веков. Его употребляли Т. Гоббс, К. Лихтенберг, И. Кант, Гегель и другие как обозначение общественного интереса. В методологическом плане принцип партийности - это та общественная позиция, которая ориентирована на поиск истины и с которой истина может быть постигнута. И совершенно обязательно, чтобы исследователь-обществовед уже при постановке проблемы изучения обозначил свое понимание</w:t>
      </w:r>
      <w:r>
        <w:t xml:space="preserve"> </w:t>
      </w:r>
      <w:r w:rsidRPr="009748E2">
        <w:t>системы ценностей.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E16"/>
    <w:rsid w:val="000E4CDD"/>
    <w:rsid w:val="001776F2"/>
    <w:rsid w:val="003F57DB"/>
    <w:rsid w:val="004872CC"/>
    <w:rsid w:val="005064A4"/>
    <w:rsid w:val="005F369E"/>
    <w:rsid w:val="00820540"/>
    <w:rsid w:val="009748E2"/>
    <w:rsid w:val="009E1E16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B4D9D7-0706-459E-92E6-07C43AA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16"/>
    <w:pPr>
      <w:spacing w:before="100" w:after="10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1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14671</Words>
  <Characters>8364</Characters>
  <Application>Microsoft Office Word</Application>
  <DocSecurity>0</DocSecurity>
  <Lines>69</Lines>
  <Paragraphs>45</Paragraphs>
  <ScaleCrop>false</ScaleCrop>
  <Company>Home</Company>
  <LinksUpToDate>false</LinksUpToDate>
  <CharactersWithSpaces>22990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и как изучает история</dc:title>
  <dc:subject/>
  <dc:creator>User</dc:creator>
  <cp:keywords/>
  <dc:description/>
  <cp:lastModifiedBy>admin</cp:lastModifiedBy>
  <cp:revision>2</cp:revision>
  <dcterms:created xsi:type="dcterms:W3CDTF">2014-01-25T14:41:00Z</dcterms:created>
  <dcterms:modified xsi:type="dcterms:W3CDTF">2014-01-25T14:41:00Z</dcterms:modified>
</cp:coreProperties>
</file>